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601" w:rsidRDefault="000F3601" w:rsidP="000F3601">
      <w:pPr>
        <w:rPr>
          <w:rFonts w:ascii="Calibri" w:hAnsi="Calibri" w:cs="Calibri"/>
          <w:i/>
          <w:iCs/>
          <w:sz w:val="22"/>
          <w:szCs w:val="22"/>
        </w:rPr>
      </w:pPr>
      <w:bookmarkStart w:id="0" w:name="_GoBack"/>
      <w:r w:rsidRPr="00B0073B">
        <w:rPr>
          <w:noProof/>
        </w:rPr>
        <w:drawing>
          <wp:inline distT="0" distB="0" distL="0" distR="0" wp14:anchorId="685FA27D" wp14:editId="37E9813C">
            <wp:extent cx="5943600" cy="2301240"/>
            <wp:effectExtent l="0" t="0" r="0" b="0"/>
            <wp:docPr id="2" name="Picture 2" descr="C:\Users\BKrajelis\AppData\Local\Microsoft\Windows\INetCache\Content.Outlook\7JPBAMTM\2163_BW_SocialMediaAssets_EmailHeaders_Highlights_PRO_Email - PTAB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Krajelis\AppData\Local\Microsoft\Windows\INetCache\Content.Outlook\7JPBAMTM\2163_BW_SocialMediaAssets_EmailHeaders_Highlights_PRO_Email - PTAB copy.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301240"/>
                    </a:xfrm>
                    <a:prstGeom prst="rect">
                      <a:avLst/>
                    </a:prstGeom>
                    <a:noFill/>
                    <a:ln>
                      <a:noFill/>
                    </a:ln>
                  </pic:spPr>
                </pic:pic>
              </a:graphicData>
            </a:graphic>
          </wp:inline>
        </w:drawing>
      </w:r>
      <w:bookmarkEnd w:id="0"/>
    </w:p>
    <w:p w:rsidR="000F3601" w:rsidRDefault="000F3601" w:rsidP="000F3601">
      <w:pPr>
        <w:jc w:val="center"/>
        <w:rPr>
          <w:rFonts w:ascii="Arial Black" w:hAnsi="Arial Black"/>
          <w:sz w:val="26"/>
          <w:szCs w:val="26"/>
        </w:rPr>
      </w:pPr>
    </w:p>
    <w:p w:rsidR="000F3601" w:rsidRDefault="000F3601" w:rsidP="000F3601">
      <w:pPr>
        <w:jc w:val="center"/>
        <w:rPr>
          <w:rFonts w:ascii="Arial Black" w:hAnsi="Arial Black"/>
          <w:sz w:val="26"/>
          <w:szCs w:val="26"/>
        </w:rPr>
      </w:pPr>
      <w:r w:rsidRPr="003145E4">
        <w:rPr>
          <w:rFonts w:ascii="Arial Black" w:hAnsi="Arial Black"/>
          <w:sz w:val="26"/>
          <w:szCs w:val="26"/>
        </w:rPr>
        <w:t xml:space="preserve">Takeaways </w:t>
      </w:r>
      <w:proofErr w:type="gramStart"/>
      <w:r w:rsidRPr="003145E4">
        <w:rPr>
          <w:rFonts w:ascii="Arial Black" w:hAnsi="Arial Black"/>
          <w:sz w:val="26"/>
          <w:szCs w:val="26"/>
        </w:rPr>
        <w:t>From</w:t>
      </w:r>
      <w:proofErr w:type="gramEnd"/>
      <w:r w:rsidRPr="003145E4">
        <w:rPr>
          <w:rFonts w:ascii="Arial Black" w:hAnsi="Arial Black"/>
          <w:sz w:val="26"/>
          <w:szCs w:val="26"/>
        </w:rPr>
        <w:t xml:space="preserve"> Recent Decisions in Post-Issuance Proceedings</w:t>
      </w:r>
    </w:p>
    <w:p w:rsidR="000F3601" w:rsidRPr="00C8358C" w:rsidRDefault="000F3601" w:rsidP="000F3601">
      <w:pPr>
        <w:rPr>
          <w:rFonts w:ascii="Arial Black" w:hAnsi="Arial Black"/>
          <w:sz w:val="22"/>
          <w:szCs w:val="22"/>
        </w:rPr>
      </w:pPr>
    </w:p>
    <w:p w:rsidR="000F3601" w:rsidRPr="00836663" w:rsidRDefault="000F3601" w:rsidP="000F3601">
      <w:pPr>
        <w:jc w:val="center"/>
        <w:rPr>
          <w:rFonts w:ascii="Rockwell" w:hAnsi="Rockwell"/>
        </w:rPr>
      </w:pPr>
      <w:r w:rsidRPr="00836663">
        <w:rPr>
          <w:rFonts w:ascii="Rockwell" w:hAnsi="Rockwell"/>
        </w:rPr>
        <w:t xml:space="preserve">By Roshan </w:t>
      </w:r>
      <w:proofErr w:type="spellStart"/>
      <w:r w:rsidRPr="00836663">
        <w:rPr>
          <w:rFonts w:ascii="Rockwell" w:hAnsi="Rockwell"/>
        </w:rPr>
        <w:t>Bhattarai</w:t>
      </w:r>
      <w:proofErr w:type="spellEnd"/>
      <w:r w:rsidRPr="00836663">
        <w:rPr>
          <w:rFonts w:ascii="Rockwell" w:hAnsi="Rockwell"/>
        </w:rPr>
        <w:t xml:space="preserve"> </w:t>
      </w:r>
      <w:r>
        <w:rPr>
          <w:rFonts w:ascii="Rockwell" w:hAnsi="Rockwell"/>
        </w:rPr>
        <w:t xml:space="preserve">and </w:t>
      </w:r>
      <w:r w:rsidRPr="00836663">
        <w:rPr>
          <w:rFonts w:ascii="Rockwell" w:hAnsi="Rockwell"/>
        </w:rPr>
        <w:t xml:space="preserve">Josh Davenport </w:t>
      </w:r>
    </w:p>
    <w:p w:rsidR="000F3601" w:rsidRPr="0054700F" w:rsidRDefault="000F3601" w:rsidP="000F3601">
      <w:pPr>
        <w:jc w:val="center"/>
        <w:rPr>
          <w:rFonts w:ascii="Rockwell" w:hAnsi="Rockwell"/>
          <w:sz w:val="22"/>
          <w:szCs w:val="22"/>
        </w:rPr>
      </w:pPr>
    </w:p>
    <w:p w:rsidR="000F3601" w:rsidRPr="00836663" w:rsidRDefault="000F3601" w:rsidP="000F3601">
      <w:pPr>
        <w:rPr>
          <w:rFonts w:ascii="Rockwell" w:hAnsi="Rockwell" w:cs="Calibri"/>
          <w:color w:val="1F497D"/>
          <w:sz w:val="22"/>
          <w:szCs w:val="22"/>
        </w:rPr>
      </w:pPr>
      <w:r w:rsidRPr="0054700F">
        <w:rPr>
          <w:rFonts w:ascii="Rockwell" w:hAnsi="Rockwell"/>
          <w:sz w:val="22"/>
          <w:szCs w:val="22"/>
        </w:rPr>
        <w:br/>
      </w:r>
      <w:r w:rsidRPr="00836663">
        <w:rPr>
          <w:rFonts w:ascii="Rockwell" w:hAnsi="Rockwell" w:cs="Calibri"/>
          <w:iCs/>
          <w:sz w:val="22"/>
          <w:szCs w:val="22"/>
        </w:rPr>
        <w:t xml:space="preserve">Enablement, indefiniteness, and </w:t>
      </w:r>
      <w:proofErr w:type="spellStart"/>
      <w:r w:rsidRPr="00836663">
        <w:rPr>
          <w:rFonts w:ascii="Rockwell" w:hAnsi="Rockwell" w:cs="Calibri"/>
          <w:iCs/>
          <w:sz w:val="22"/>
          <w:szCs w:val="22"/>
        </w:rPr>
        <w:t>privity</w:t>
      </w:r>
      <w:proofErr w:type="spellEnd"/>
      <w:r w:rsidRPr="00836663">
        <w:rPr>
          <w:rFonts w:ascii="Rockwell" w:hAnsi="Rockwell" w:cs="Calibri"/>
          <w:iCs/>
          <w:sz w:val="22"/>
          <w:szCs w:val="22"/>
        </w:rPr>
        <w:t xml:space="preserve"> </w:t>
      </w:r>
      <w:r w:rsidRPr="00836663">
        <w:rPr>
          <w:rFonts w:ascii="Rockwell" w:hAnsi="Rockwell" w:cs="Calibri"/>
          <w:sz w:val="22"/>
          <w:szCs w:val="22"/>
        </w:rPr>
        <w:t xml:space="preserve">are a few of the topics covered in Banner </w:t>
      </w:r>
      <w:proofErr w:type="spellStart"/>
      <w:r w:rsidRPr="00836663">
        <w:rPr>
          <w:rFonts w:ascii="Rockwell" w:hAnsi="Rockwell" w:cs="Calibri"/>
          <w:sz w:val="22"/>
          <w:szCs w:val="22"/>
        </w:rPr>
        <w:t>Witcoff’s</w:t>
      </w:r>
      <w:proofErr w:type="spellEnd"/>
      <w:r w:rsidRPr="00836663">
        <w:rPr>
          <w:rFonts w:ascii="Rockwell" w:hAnsi="Rockwell" w:cs="Calibri"/>
          <w:sz w:val="22"/>
          <w:szCs w:val="22"/>
        </w:rPr>
        <w:t xml:space="preserve"> latest installment of PTAB Highlights. </w:t>
      </w:r>
    </w:p>
    <w:p w:rsidR="000F3601" w:rsidRPr="00836663" w:rsidRDefault="000F3601" w:rsidP="000F3601">
      <w:pPr>
        <w:rPr>
          <w:rFonts w:ascii="Rockwell" w:hAnsi="Rockwell" w:cs="Calibri"/>
          <w:sz w:val="22"/>
          <w:szCs w:val="22"/>
        </w:rPr>
      </w:pPr>
    </w:p>
    <w:p w:rsidR="000F3601" w:rsidRPr="00836663" w:rsidRDefault="000F3601" w:rsidP="000F3601">
      <w:pPr>
        <w:rPr>
          <w:rFonts w:ascii="Rockwell" w:hAnsi="Rockwell"/>
          <w:sz w:val="22"/>
          <w:szCs w:val="22"/>
        </w:rPr>
      </w:pPr>
      <w:r w:rsidRPr="00836663">
        <w:rPr>
          <w:rFonts w:ascii="Rockwell" w:hAnsi="Rockwell"/>
          <w:b/>
          <w:sz w:val="22"/>
          <w:szCs w:val="22"/>
        </w:rPr>
        <w:t>Enablement of Provisional.</w:t>
      </w:r>
      <w:r w:rsidRPr="00836663">
        <w:rPr>
          <w:rFonts w:ascii="Rockwell" w:hAnsi="Rockwell"/>
          <w:sz w:val="22"/>
          <w:szCs w:val="22"/>
        </w:rPr>
        <w:t xml:space="preserve"> IPR institution denied after Board applies a provisional date, disqualifying asserted art. The Board cited Petitioner argument regarding what was known in the art as evidence of enablement for the Patent Owner’s provisional application. </w:t>
      </w:r>
      <w:r w:rsidR="00F93445">
        <w:rPr>
          <w:rFonts w:ascii="Rockwell" w:hAnsi="Rockwell"/>
          <w:sz w:val="22"/>
          <w:szCs w:val="22"/>
        </w:rPr>
        <w:br/>
      </w:r>
      <w:r w:rsidR="00F93445">
        <w:rPr>
          <w:rFonts w:ascii="Rockwell" w:hAnsi="Rockwell"/>
          <w:sz w:val="22"/>
          <w:szCs w:val="22"/>
        </w:rPr>
        <w:br/>
      </w:r>
      <w:hyperlink r:id="rId5" w:history="1">
        <w:proofErr w:type="spellStart"/>
        <w:r w:rsidRPr="00836663">
          <w:rPr>
            <w:rStyle w:val="Hyperlink"/>
            <w:rFonts w:ascii="Rockwell" w:hAnsi="Rockwell"/>
            <w:i/>
            <w:sz w:val="22"/>
            <w:szCs w:val="22"/>
          </w:rPr>
          <w:t>GEMoaB</w:t>
        </w:r>
        <w:proofErr w:type="spellEnd"/>
        <w:r w:rsidRPr="00836663">
          <w:rPr>
            <w:rStyle w:val="Hyperlink"/>
            <w:rFonts w:ascii="Rockwell" w:hAnsi="Rockwell"/>
            <w:i/>
            <w:sz w:val="22"/>
            <w:szCs w:val="22"/>
          </w:rPr>
          <w:t xml:space="preserve"> </w:t>
        </w:r>
        <w:proofErr w:type="spellStart"/>
        <w:r w:rsidRPr="00836663">
          <w:rPr>
            <w:rStyle w:val="Hyperlink"/>
            <w:rFonts w:ascii="Rockwell" w:hAnsi="Rockwell"/>
            <w:i/>
            <w:sz w:val="22"/>
            <w:szCs w:val="22"/>
          </w:rPr>
          <w:t>Monoclonals</w:t>
        </w:r>
        <w:proofErr w:type="spellEnd"/>
        <w:r w:rsidRPr="00836663">
          <w:rPr>
            <w:rStyle w:val="Hyperlink"/>
            <w:rFonts w:ascii="Rockwell" w:hAnsi="Rockwell"/>
            <w:i/>
            <w:sz w:val="22"/>
            <w:szCs w:val="22"/>
          </w:rPr>
          <w:t xml:space="preserve"> GMBH v. University of Maryland, Baltimore,</w:t>
        </w:r>
      </w:hyperlink>
      <w:r>
        <w:rPr>
          <w:rFonts w:ascii="Rockwell" w:hAnsi="Rockwell"/>
          <w:i/>
          <w:sz w:val="22"/>
          <w:szCs w:val="22"/>
        </w:rPr>
        <w:t xml:space="preserve"> </w:t>
      </w:r>
      <w:r w:rsidRPr="00836663">
        <w:rPr>
          <w:rFonts w:ascii="Rockwell" w:hAnsi="Rockwell"/>
          <w:sz w:val="22"/>
          <w:szCs w:val="22"/>
        </w:rPr>
        <w:t>IPR2020-00233, Paper 16 (Jun. 17, 2020) (</w:t>
      </w:r>
      <w:proofErr w:type="spellStart"/>
      <w:r w:rsidRPr="00836663">
        <w:rPr>
          <w:rFonts w:ascii="Rockwell" w:hAnsi="Rockwell"/>
          <w:sz w:val="22"/>
          <w:szCs w:val="22"/>
        </w:rPr>
        <w:t>Hulse</w:t>
      </w:r>
      <w:proofErr w:type="spellEnd"/>
      <w:r w:rsidRPr="00836663">
        <w:rPr>
          <w:rFonts w:ascii="Rockwell" w:hAnsi="Rockwell"/>
          <w:sz w:val="22"/>
          <w:szCs w:val="22"/>
        </w:rPr>
        <w:t xml:space="preserve">, joined by </w:t>
      </w:r>
      <w:proofErr w:type="spellStart"/>
      <w:r w:rsidRPr="00836663">
        <w:rPr>
          <w:rFonts w:ascii="Rockwell" w:hAnsi="Rockwell"/>
          <w:sz w:val="22"/>
          <w:szCs w:val="22"/>
        </w:rPr>
        <w:t>Tornquist</w:t>
      </w:r>
      <w:proofErr w:type="spellEnd"/>
      <w:r w:rsidRPr="00836663">
        <w:rPr>
          <w:rFonts w:ascii="Rockwell" w:hAnsi="Rockwell"/>
          <w:sz w:val="22"/>
          <w:szCs w:val="22"/>
        </w:rPr>
        <w:t xml:space="preserve"> and Majors). </w:t>
      </w:r>
    </w:p>
    <w:p w:rsidR="000F3601" w:rsidRPr="00836663" w:rsidRDefault="000F3601" w:rsidP="000F3601">
      <w:pPr>
        <w:rPr>
          <w:rFonts w:ascii="Rockwell" w:hAnsi="Rockwell" w:cs="Calibri"/>
          <w:sz w:val="22"/>
          <w:szCs w:val="22"/>
        </w:rPr>
      </w:pPr>
    </w:p>
    <w:p w:rsidR="000F3601" w:rsidRPr="00836663" w:rsidRDefault="000F3601" w:rsidP="000F3601">
      <w:pPr>
        <w:rPr>
          <w:rFonts w:ascii="Rockwell" w:hAnsi="Rockwell"/>
          <w:sz w:val="22"/>
          <w:szCs w:val="22"/>
        </w:rPr>
      </w:pPr>
      <w:r w:rsidRPr="00836663">
        <w:rPr>
          <w:rFonts w:ascii="Rockwell" w:hAnsi="Rockwell"/>
          <w:b/>
          <w:sz w:val="22"/>
          <w:szCs w:val="22"/>
        </w:rPr>
        <w:t>Board Declines to Give Advisory Opinion on Indefiniteness.</w:t>
      </w:r>
      <w:r w:rsidRPr="00836663">
        <w:rPr>
          <w:rFonts w:ascii="Rockwell" w:hAnsi="Rockwell"/>
          <w:sz w:val="22"/>
          <w:szCs w:val="22"/>
        </w:rPr>
        <w:t xml:space="preserve">  IPR institution denied because Petitioner provided string cites to alleged structure for means-plus-function claims without specifying alleged structure. Board held it “in effect, seeks an advisory opinion from the Board as to whether the challenged claims are indefinite.”  </w:t>
      </w:r>
      <w:hyperlink r:id="rId6" w:history="1">
        <w:proofErr w:type="spellStart"/>
        <w:r w:rsidRPr="00836663">
          <w:rPr>
            <w:rStyle w:val="Hyperlink"/>
            <w:rFonts w:ascii="Rockwell" w:hAnsi="Rockwell"/>
            <w:i/>
            <w:sz w:val="22"/>
            <w:szCs w:val="22"/>
          </w:rPr>
          <w:t>Callminer</w:t>
        </w:r>
        <w:proofErr w:type="spellEnd"/>
        <w:r w:rsidRPr="00836663">
          <w:rPr>
            <w:rStyle w:val="Hyperlink"/>
            <w:rFonts w:ascii="Rockwell" w:hAnsi="Rockwell"/>
            <w:i/>
            <w:sz w:val="22"/>
            <w:szCs w:val="22"/>
          </w:rPr>
          <w:t xml:space="preserve">, Inc. v. </w:t>
        </w:r>
        <w:proofErr w:type="spellStart"/>
        <w:r w:rsidRPr="00836663">
          <w:rPr>
            <w:rStyle w:val="Hyperlink"/>
            <w:rFonts w:ascii="Rockwell" w:hAnsi="Rockwell"/>
            <w:i/>
            <w:sz w:val="22"/>
            <w:szCs w:val="22"/>
          </w:rPr>
          <w:t>Mattersight</w:t>
        </w:r>
        <w:proofErr w:type="spellEnd"/>
        <w:r w:rsidRPr="00836663">
          <w:rPr>
            <w:rStyle w:val="Hyperlink"/>
            <w:rFonts w:ascii="Rockwell" w:hAnsi="Rockwell"/>
            <w:i/>
            <w:sz w:val="22"/>
            <w:szCs w:val="22"/>
          </w:rPr>
          <w:t>, Inc.</w:t>
        </w:r>
        <w:r w:rsidRPr="00836663">
          <w:rPr>
            <w:rStyle w:val="Hyperlink"/>
            <w:rFonts w:ascii="Rockwell" w:hAnsi="Rockwell"/>
            <w:sz w:val="22"/>
            <w:szCs w:val="22"/>
          </w:rPr>
          <w:t>,</w:t>
        </w:r>
      </w:hyperlink>
      <w:r w:rsidRPr="00836663">
        <w:rPr>
          <w:rFonts w:ascii="Rockwell" w:hAnsi="Rockwell"/>
          <w:sz w:val="22"/>
          <w:szCs w:val="22"/>
        </w:rPr>
        <w:t xml:space="preserve"> No. IPR2020-00272, Paper 8 (Jun. 18, 2020) (McShane, joined by Turner and </w:t>
      </w:r>
      <w:proofErr w:type="spellStart"/>
      <w:r w:rsidRPr="00836663">
        <w:rPr>
          <w:rFonts w:ascii="Rockwell" w:hAnsi="Rockwell"/>
          <w:sz w:val="22"/>
          <w:szCs w:val="22"/>
        </w:rPr>
        <w:t>Arbes</w:t>
      </w:r>
      <w:proofErr w:type="spellEnd"/>
      <w:r w:rsidRPr="00836663">
        <w:rPr>
          <w:rFonts w:ascii="Rockwell" w:hAnsi="Rockwell"/>
          <w:sz w:val="22"/>
          <w:szCs w:val="22"/>
        </w:rPr>
        <w:t>).</w:t>
      </w:r>
    </w:p>
    <w:p w:rsidR="000F3601" w:rsidRPr="00836663" w:rsidRDefault="000F3601" w:rsidP="000F3601">
      <w:pPr>
        <w:rPr>
          <w:rFonts w:ascii="Rockwell" w:hAnsi="Rockwell"/>
          <w:sz w:val="22"/>
          <w:szCs w:val="22"/>
        </w:rPr>
      </w:pPr>
    </w:p>
    <w:p w:rsidR="000F3601" w:rsidRPr="00836663" w:rsidRDefault="000F3601" w:rsidP="000F3601">
      <w:pPr>
        <w:rPr>
          <w:rFonts w:ascii="Rockwell" w:hAnsi="Rockwell"/>
          <w:sz w:val="22"/>
          <w:szCs w:val="22"/>
        </w:rPr>
      </w:pPr>
      <w:proofErr w:type="spellStart"/>
      <w:r w:rsidRPr="00836663">
        <w:rPr>
          <w:rFonts w:ascii="Rockwell" w:hAnsi="Rockwell"/>
          <w:b/>
          <w:sz w:val="22"/>
          <w:szCs w:val="22"/>
        </w:rPr>
        <w:t>Privity</w:t>
      </w:r>
      <w:proofErr w:type="spellEnd"/>
      <w:r w:rsidRPr="00836663">
        <w:rPr>
          <w:rFonts w:ascii="Rockwell" w:hAnsi="Rockwell"/>
          <w:b/>
          <w:sz w:val="22"/>
          <w:szCs w:val="22"/>
        </w:rPr>
        <w:t>.</w:t>
      </w:r>
      <w:r w:rsidRPr="00836663">
        <w:rPr>
          <w:rFonts w:ascii="Rockwell" w:hAnsi="Rockwell"/>
          <w:sz w:val="22"/>
          <w:szCs w:val="22"/>
        </w:rPr>
        <w:t xml:space="preserve">  IPR institution denied for failure to file within one year of a privy of Petitioner being served with a complaint. Petitioner agreed to indemnify district court defendants. The Board held that Petitioner had the opportunity to control the district court litigation, was in </w:t>
      </w:r>
      <w:proofErr w:type="spellStart"/>
      <w:r w:rsidRPr="00836663">
        <w:rPr>
          <w:rFonts w:ascii="Rockwell" w:hAnsi="Rockwell"/>
          <w:sz w:val="22"/>
          <w:szCs w:val="22"/>
        </w:rPr>
        <w:t>privity</w:t>
      </w:r>
      <w:proofErr w:type="spellEnd"/>
      <w:r w:rsidRPr="00836663">
        <w:rPr>
          <w:rFonts w:ascii="Rockwell" w:hAnsi="Rockwell"/>
          <w:sz w:val="22"/>
          <w:szCs w:val="22"/>
        </w:rPr>
        <w:t xml:space="preserve"> with the district court defendants for purposes of § 315(b), and failed to file the Petition within one year of its privy being served with the complaint. </w:t>
      </w:r>
      <w:hyperlink r:id="rId7" w:history="1">
        <w:r w:rsidRPr="00836663">
          <w:rPr>
            <w:rStyle w:val="Hyperlink"/>
            <w:rFonts w:ascii="Rockwell" w:hAnsi="Rockwell"/>
            <w:i/>
            <w:sz w:val="22"/>
            <w:szCs w:val="22"/>
          </w:rPr>
          <w:t>Ericsson, Inc. v. Regents of the University of Minn</w:t>
        </w:r>
        <w:r w:rsidRPr="00836663">
          <w:rPr>
            <w:rStyle w:val="Hyperlink"/>
            <w:rFonts w:ascii="Rockwell" w:hAnsi="Rockwell"/>
            <w:sz w:val="22"/>
            <w:szCs w:val="22"/>
          </w:rPr>
          <w:t>esota</w:t>
        </w:r>
      </w:hyperlink>
      <w:r w:rsidRPr="00836663">
        <w:rPr>
          <w:rFonts w:ascii="Rockwell" w:hAnsi="Rockwell"/>
          <w:sz w:val="22"/>
          <w:szCs w:val="22"/>
        </w:rPr>
        <w:t>, No. IPR2017-01186, Paper 58 (Jun. 19, 2020) (Weinschenk, joined by Bisk and Boudreau).</w:t>
      </w:r>
    </w:p>
    <w:p w:rsidR="000F3601" w:rsidRPr="00836663" w:rsidRDefault="000F3601" w:rsidP="000F3601">
      <w:pPr>
        <w:rPr>
          <w:rFonts w:ascii="Rockwell" w:hAnsi="Rockwell" w:cs="Calibri"/>
          <w:sz w:val="22"/>
          <w:szCs w:val="22"/>
        </w:rPr>
      </w:pPr>
    </w:p>
    <w:p w:rsidR="000F3601" w:rsidRPr="00836663" w:rsidRDefault="000F3601" w:rsidP="000F3601">
      <w:pPr>
        <w:rPr>
          <w:rFonts w:ascii="Rockwell" w:eastAsia="Times New Roman" w:hAnsi="Rockwell"/>
          <w:sz w:val="22"/>
          <w:szCs w:val="22"/>
        </w:rPr>
      </w:pPr>
      <w:r w:rsidRPr="00836663">
        <w:rPr>
          <w:rFonts w:ascii="Rockwell" w:eastAsia="Times New Roman" w:hAnsi="Rockwell"/>
          <w:b/>
          <w:bCs/>
          <w:sz w:val="22"/>
          <w:szCs w:val="22"/>
        </w:rPr>
        <w:t xml:space="preserve">IPR Instituted based on </w:t>
      </w:r>
      <w:proofErr w:type="spellStart"/>
      <w:r w:rsidRPr="00836663">
        <w:rPr>
          <w:rFonts w:ascii="Rockwell" w:eastAsia="Times New Roman" w:hAnsi="Rockwell"/>
          <w:b/>
          <w:bCs/>
          <w:i/>
          <w:iCs/>
          <w:sz w:val="22"/>
          <w:szCs w:val="22"/>
        </w:rPr>
        <w:t>Fintiv</w:t>
      </w:r>
      <w:proofErr w:type="spellEnd"/>
      <w:r w:rsidRPr="00836663">
        <w:rPr>
          <w:rFonts w:ascii="Rockwell" w:eastAsia="Times New Roman" w:hAnsi="Rockwell"/>
          <w:b/>
          <w:bCs/>
          <w:i/>
          <w:iCs/>
          <w:sz w:val="22"/>
          <w:szCs w:val="22"/>
        </w:rPr>
        <w:t xml:space="preserve"> </w:t>
      </w:r>
      <w:r w:rsidRPr="00836663">
        <w:rPr>
          <w:rFonts w:ascii="Rockwell" w:eastAsia="Times New Roman" w:hAnsi="Rockwell"/>
          <w:b/>
          <w:bCs/>
          <w:sz w:val="22"/>
          <w:szCs w:val="22"/>
        </w:rPr>
        <w:t>Factors.</w:t>
      </w:r>
      <w:r w:rsidRPr="00836663">
        <w:rPr>
          <w:rFonts w:ascii="Rockwell" w:eastAsia="Times New Roman" w:hAnsi="Rockwell"/>
          <w:sz w:val="22"/>
          <w:szCs w:val="22"/>
        </w:rPr>
        <w:t xml:space="preserve"> IPR instituted even when similar issues are being litigated in parallel district court cases. Applying the </w:t>
      </w:r>
      <w:proofErr w:type="spellStart"/>
      <w:r w:rsidRPr="00836663">
        <w:rPr>
          <w:rFonts w:ascii="Rockwell" w:eastAsia="Times New Roman" w:hAnsi="Rockwell"/>
          <w:i/>
          <w:iCs/>
          <w:sz w:val="22"/>
          <w:szCs w:val="22"/>
        </w:rPr>
        <w:t>Fintiv</w:t>
      </w:r>
      <w:proofErr w:type="spellEnd"/>
      <w:r w:rsidRPr="00836663">
        <w:rPr>
          <w:rFonts w:ascii="Rockwell" w:eastAsia="Times New Roman" w:hAnsi="Rockwell"/>
          <w:sz w:val="22"/>
          <w:szCs w:val="22"/>
        </w:rPr>
        <w:t xml:space="preserve"> factors, </w:t>
      </w:r>
      <w:r w:rsidRPr="00836663">
        <w:rPr>
          <w:rFonts w:ascii="Rockwell" w:eastAsia="Times New Roman" w:hAnsi="Rockwell"/>
          <w:i/>
          <w:iCs/>
          <w:sz w:val="22"/>
          <w:szCs w:val="22"/>
        </w:rPr>
        <w:t xml:space="preserve">see Apple Inc. v. </w:t>
      </w:r>
      <w:proofErr w:type="spellStart"/>
      <w:r w:rsidRPr="00836663">
        <w:rPr>
          <w:rFonts w:ascii="Rockwell" w:eastAsia="Times New Roman" w:hAnsi="Rockwell"/>
          <w:i/>
          <w:iCs/>
          <w:sz w:val="22"/>
          <w:szCs w:val="22"/>
        </w:rPr>
        <w:t>Fintiv</w:t>
      </w:r>
      <w:proofErr w:type="spellEnd"/>
      <w:r w:rsidRPr="00836663">
        <w:rPr>
          <w:rFonts w:ascii="Rockwell" w:eastAsia="Times New Roman" w:hAnsi="Rockwell"/>
          <w:i/>
          <w:iCs/>
          <w:sz w:val="22"/>
          <w:szCs w:val="22"/>
        </w:rPr>
        <w:t>, Inc.,</w:t>
      </w:r>
      <w:r w:rsidRPr="00836663">
        <w:rPr>
          <w:rFonts w:ascii="Rockwell" w:eastAsia="Times New Roman" w:hAnsi="Rockwell"/>
          <w:sz w:val="22"/>
          <w:szCs w:val="22"/>
        </w:rPr>
        <w:t xml:space="preserve"> IPR2020-00019, Paper 11 (PTAB Mar. 20, 2020) (precedential, designated May 5, 2020), the Board determined that the district court litigations were at early stages and that the resolution of the similar issues by the Board in the IPR proceedings may be beneficial to the </w:t>
      </w:r>
      <w:r w:rsidRPr="00836663">
        <w:rPr>
          <w:rFonts w:ascii="Rockwell" w:eastAsia="Times New Roman" w:hAnsi="Rockwell"/>
          <w:sz w:val="22"/>
          <w:szCs w:val="22"/>
        </w:rPr>
        <w:lastRenderedPageBreak/>
        <w:t xml:space="preserve">district court proceedings. </w:t>
      </w:r>
      <w:hyperlink r:id="rId8" w:history="1">
        <w:r w:rsidRPr="00836663">
          <w:rPr>
            <w:rStyle w:val="Hyperlink"/>
            <w:rFonts w:ascii="Rockwell" w:eastAsia="Times New Roman" w:hAnsi="Rockwell"/>
            <w:i/>
            <w:iCs/>
            <w:sz w:val="22"/>
            <w:szCs w:val="22"/>
          </w:rPr>
          <w:t>Medtronic, Inc. et al v. Teleflex Medical Devices S.A.R.L.</w:t>
        </w:r>
      </w:hyperlink>
      <w:r w:rsidRPr="00836663">
        <w:rPr>
          <w:rFonts w:ascii="Rockwell" w:eastAsia="Times New Roman" w:hAnsi="Rockwell"/>
          <w:sz w:val="22"/>
          <w:szCs w:val="22"/>
        </w:rPr>
        <w:t>, IPR2020-00127, Paper 20 (Jun. 26, 2020) (</w:t>
      </w:r>
      <w:proofErr w:type="spellStart"/>
      <w:r w:rsidRPr="00836663">
        <w:rPr>
          <w:rFonts w:ascii="Rockwell" w:eastAsia="Times New Roman" w:hAnsi="Rockwell"/>
          <w:sz w:val="22"/>
          <w:szCs w:val="22"/>
        </w:rPr>
        <w:t>Snedden</w:t>
      </w:r>
      <w:proofErr w:type="spellEnd"/>
      <w:r w:rsidRPr="00836663">
        <w:rPr>
          <w:rFonts w:ascii="Rockwell" w:eastAsia="Times New Roman" w:hAnsi="Rockwell"/>
          <w:sz w:val="22"/>
          <w:szCs w:val="22"/>
        </w:rPr>
        <w:t xml:space="preserve">, joined by </w:t>
      </w:r>
      <w:proofErr w:type="spellStart"/>
      <w:r w:rsidRPr="00836663">
        <w:rPr>
          <w:rFonts w:ascii="Rockwell" w:eastAsia="Times New Roman" w:hAnsi="Rockwell"/>
          <w:sz w:val="22"/>
          <w:szCs w:val="22"/>
        </w:rPr>
        <w:t>Tornquist</w:t>
      </w:r>
      <w:proofErr w:type="spellEnd"/>
      <w:r w:rsidRPr="00836663">
        <w:rPr>
          <w:rFonts w:ascii="Rockwell" w:eastAsia="Times New Roman" w:hAnsi="Rockwell"/>
          <w:sz w:val="22"/>
          <w:szCs w:val="22"/>
        </w:rPr>
        <w:t xml:space="preserve"> and </w:t>
      </w:r>
      <w:proofErr w:type="spellStart"/>
      <w:r w:rsidRPr="00836663">
        <w:rPr>
          <w:rFonts w:ascii="Rockwell" w:eastAsia="Times New Roman" w:hAnsi="Rockwell"/>
          <w:sz w:val="22"/>
          <w:szCs w:val="22"/>
        </w:rPr>
        <w:t>Paulraj</w:t>
      </w:r>
      <w:proofErr w:type="spellEnd"/>
      <w:r w:rsidRPr="00836663">
        <w:rPr>
          <w:rFonts w:ascii="Rockwell" w:eastAsia="Times New Roman" w:hAnsi="Rockwell"/>
          <w:sz w:val="22"/>
          <w:szCs w:val="22"/>
        </w:rPr>
        <w:t>).  </w:t>
      </w:r>
    </w:p>
    <w:p w:rsidR="000F3601" w:rsidRPr="00836663" w:rsidRDefault="000F3601" w:rsidP="000F3601">
      <w:pPr>
        <w:pStyle w:val="Default"/>
        <w:ind w:left="720"/>
        <w:rPr>
          <w:rFonts w:ascii="Rockwell" w:eastAsia="Times New Roman" w:hAnsi="Rockwell"/>
          <w:sz w:val="22"/>
          <w:szCs w:val="22"/>
        </w:rPr>
      </w:pPr>
    </w:p>
    <w:p w:rsidR="000F3601" w:rsidRPr="00836663" w:rsidRDefault="000F3601" w:rsidP="000F3601">
      <w:pPr>
        <w:pStyle w:val="Default"/>
        <w:ind w:left="1440"/>
        <w:rPr>
          <w:rFonts w:ascii="Rockwell" w:hAnsi="Rockwell"/>
          <w:sz w:val="22"/>
          <w:szCs w:val="22"/>
        </w:rPr>
      </w:pPr>
    </w:p>
    <w:p w:rsidR="000F3601" w:rsidRPr="00836663" w:rsidRDefault="000F3601" w:rsidP="000F3601">
      <w:pPr>
        <w:pStyle w:val="Default"/>
        <w:rPr>
          <w:rFonts w:ascii="Rockwell" w:eastAsia="Times New Roman" w:hAnsi="Rockwell"/>
          <w:sz w:val="22"/>
          <w:szCs w:val="22"/>
        </w:rPr>
      </w:pPr>
      <w:r w:rsidRPr="00836663">
        <w:rPr>
          <w:rFonts w:ascii="Rockwell" w:eastAsia="Times New Roman" w:hAnsi="Rockwell"/>
          <w:b/>
          <w:bCs/>
          <w:sz w:val="22"/>
          <w:szCs w:val="22"/>
        </w:rPr>
        <w:t xml:space="preserve">IPR Institution Denied based on </w:t>
      </w:r>
      <w:proofErr w:type="spellStart"/>
      <w:r w:rsidRPr="00836663">
        <w:rPr>
          <w:rFonts w:ascii="Rockwell" w:eastAsia="Times New Roman" w:hAnsi="Rockwell"/>
          <w:b/>
          <w:bCs/>
          <w:i/>
          <w:iCs/>
          <w:sz w:val="22"/>
          <w:szCs w:val="22"/>
        </w:rPr>
        <w:t>Fintiv</w:t>
      </w:r>
      <w:proofErr w:type="spellEnd"/>
      <w:r w:rsidRPr="00836663">
        <w:rPr>
          <w:rFonts w:ascii="Rockwell" w:eastAsia="Times New Roman" w:hAnsi="Rockwell"/>
          <w:b/>
          <w:bCs/>
          <w:i/>
          <w:iCs/>
          <w:sz w:val="22"/>
          <w:szCs w:val="22"/>
        </w:rPr>
        <w:t xml:space="preserve"> </w:t>
      </w:r>
      <w:r w:rsidRPr="00836663">
        <w:rPr>
          <w:rFonts w:ascii="Rockwell" w:eastAsia="Times New Roman" w:hAnsi="Rockwell"/>
          <w:b/>
          <w:bCs/>
          <w:sz w:val="22"/>
          <w:szCs w:val="22"/>
        </w:rPr>
        <w:t xml:space="preserve">Factors. </w:t>
      </w:r>
      <w:r w:rsidRPr="00836663">
        <w:rPr>
          <w:rFonts w:ascii="Rockwell" w:eastAsia="Times New Roman" w:hAnsi="Rockwell"/>
          <w:sz w:val="22"/>
          <w:szCs w:val="22"/>
        </w:rPr>
        <w:t xml:space="preserve">IPR institution denied when the petition presented substantially overlapping invalidity issues presented in a parallel district court proceeding. Applying the </w:t>
      </w:r>
      <w:proofErr w:type="spellStart"/>
      <w:r w:rsidRPr="00836663">
        <w:rPr>
          <w:rFonts w:ascii="Rockwell" w:eastAsia="Times New Roman" w:hAnsi="Rockwell"/>
          <w:i/>
          <w:iCs/>
          <w:sz w:val="22"/>
          <w:szCs w:val="22"/>
        </w:rPr>
        <w:t>Fintiv</w:t>
      </w:r>
      <w:proofErr w:type="spellEnd"/>
      <w:r w:rsidRPr="00836663">
        <w:rPr>
          <w:rFonts w:ascii="Rockwell" w:eastAsia="Times New Roman" w:hAnsi="Rockwell"/>
          <w:i/>
          <w:iCs/>
          <w:sz w:val="22"/>
          <w:szCs w:val="22"/>
        </w:rPr>
        <w:t xml:space="preserve"> </w:t>
      </w:r>
      <w:r w:rsidRPr="00836663">
        <w:rPr>
          <w:rFonts w:ascii="Rockwell" w:eastAsia="Times New Roman" w:hAnsi="Rockwell"/>
          <w:sz w:val="22"/>
          <w:szCs w:val="22"/>
        </w:rPr>
        <w:t xml:space="preserve">factors, the Board determined that because the district court and the parties already invested substantial resources for the district court proceeding and because the jury trial was scheduled to begin eleven months before the statutory deadline for the Board’s decision, an institution would likely create a duplication of effort and a potential for inconsistent results. </w:t>
      </w:r>
      <w:hyperlink r:id="rId9" w:history="1">
        <w:r w:rsidRPr="00836663">
          <w:rPr>
            <w:rStyle w:val="Hyperlink"/>
            <w:rFonts w:ascii="Rockwell" w:eastAsia="Times New Roman" w:hAnsi="Rockwell"/>
            <w:i/>
            <w:iCs/>
            <w:sz w:val="22"/>
            <w:szCs w:val="22"/>
          </w:rPr>
          <w:t>Supercell Oy v. GREE, Inc.</w:t>
        </w:r>
      </w:hyperlink>
      <w:r w:rsidRPr="00836663">
        <w:rPr>
          <w:rFonts w:ascii="Rockwell" w:eastAsia="Times New Roman" w:hAnsi="Rockwell"/>
          <w:sz w:val="22"/>
          <w:szCs w:val="22"/>
        </w:rPr>
        <w:t>, IPR2020-00513, Paper 11 (Jun. 24, 2020) (</w:t>
      </w:r>
      <w:proofErr w:type="spellStart"/>
      <w:r w:rsidRPr="00836663">
        <w:rPr>
          <w:rFonts w:ascii="Rockwell" w:eastAsia="Times New Roman" w:hAnsi="Rockwell"/>
          <w:sz w:val="22"/>
          <w:szCs w:val="22"/>
        </w:rPr>
        <w:t>Wieker</w:t>
      </w:r>
      <w:proofErr w:type="spellEnd"/>
      <w:r w:rsidRPr="00836663">
        <w:rPr>
          <w:rFonts w:ascii="Rockwell" w:eastAsia="Times New Roman" w:hAnsi="Rockwell"/>
          <w:sz w:val="22"/>
          <w:szCs w:val="22"/>
        </w:rPr>
        <w:t xml:space="preserve">, joined by Kim and Browne). </w:t>
      </w:r>
    </w:p>
    <w:p w:rsidR="000F3601" w:rsidRPr="00836663" w:rsidRDefault="000F3601" w:rsidP="000F3601">
      <w:pPr>
        <w:pStyle w:val="Default"/>
        <w:rPr>
          <w:rFonts w:ascii="Rockwell" w:hAnsi="Rockwell"/>
          <w:sz w:val="22"/>
          <w:szCs w:val="22"/>
        </w:rPr>
      </w:pPr>
    </w:p>
    <w:p w:rsidR="000F3601" w:rsidRPr="00836663" w:rsidRDefault="000F3601" w:rsidP="000F3601">
      <w:pPr>
        <w:pStyle w:val="Default"/>
        <w:rPr>
          <w:rFonts w:ascii="Rockwell" w:eastAsia="Times New Roman" w:hAnsi="Rockwell"/>
          <w:sz w:val="22"/>
          <w:szCs w:val="22"/>
        </w:rPr>
      </w:pPr>
      <w:r w:rsidRPr="00836663">
        <w:rPr>
          <w:rFonts w:ascii="Rockwell" w:eastAsia="Times New Roman" w:hAnsi="Rockwell"/>
          <w:b/>
          <w:bCs/>
          <w:sz w:val="22"/>
          <w:szCs w:val="22"/>
        </w:rPr>
        <w:t>IPR Institution Denied for a Lack of Particularity.</w:t>
      </w:r>
      <w:r w:rsidRPr="00836663">
        <w:rPr>
          <w:rFonts w:ascii="Rockwell" w:eastAsia="Times New Roman" w:hAnsi="Rockwell"/>
          <w:sz w:val="22"/>
          <w:szCs w:val="22"/>
        </w:rPr>
        <w:t xml:space="preserve"> IPR institution denied when the petition failed to identify with particularity what disclosure was relied on from each of the cited references, failed to describe how the disclosures would be combinable, and failed to describe why the proposed combination would have been obvious to a person ordinary skill in the relevant technology. Although the Board determined that only four out the twenty grounds did not satisfy the particularity requirement, it infected the proceeding sufficiently to deny an IPR institution on all grounds. </w:t>
      </w:r>
      <w:hyperlink r:id="rId10" w:history="1">
        <w:r w:rsidRPr="00836663">
          <w:rPr>
            <w:rStyle w:val="Hyperlink"/>
            <w:rFonts w:ascii="Rockwell" w:eastAsia="Times New Roman" w:hAnsi="Rockwell"/>
            <w:i/>
            <w:iCs/>
            <w:sz w:val="22"/>
            <w:szCs w:val="22"/>
          </w:rPr>
          <w:t xml:space="preserve">EIK Engineering </w:t>
        </w:r>
        <w:proofErr w:type="spellStart"/>
        <w:r w:rsidRPr="00836663">
          <w:rPr>
            <w:rStyle w:val="Hyperlink"/>
            <w:rFonts w:ascii="Rockwell" w:eastAsia="Times New Roman" w:hAnsi="Rockwell"/>
            <w:i/>
            <w:iCs/>
            <w:sz w:val="22"/>
            <w:szCs w:val="22"/>
          </w:rPr>
          <w:t>Sdn</w:t>
        </w:r>
        <w:proofErr w:type="spellEnd"/>
        <w:r w:rsidRPr="00836663">
          <w:rPr>
            <w:rStyle w:val="Hyperlink"/>
            <w:rFonts w:ascii="Rockwell" w:eastAsia="Times New Roman" w:hAnsi="Rockwell"/>
            <w:i/>
            <w:iCs/>
            <w:sz w:val="22"/>
            <w:szCs w:val="22"/>
          </w:rPr>
          <w:t>. Bhd. v. Wilco Marsh Buggies &amp; Draglines, Inc.</w:t>
        </w:r>
      </w:hyperlink>
      <w:r w:rsidRPr="00836663">
        <w:rPr>
          <w:rFonts w:ascii="Rockwell" w:eastAsia="Times New Roman" w:hAnsi="Rockwell"/>
          <w:sz w:val="22"/>
          <w:szCs w:val="22"/>
        </w:rPr>
        <w:t>,</w:t>
      </w:r>
      <w:r w:rsidRPr="00836663">
        <w:rPr>
          <w:rFonts w:ascii="Rockwell" w:eastAsia="Times New Roman" w:hAnsi="Rockwell"/>
          <w:i/>
          <w:iCs/>
          <w:sz w:val="22"/>
          <w:szCs w:val="22"/>
        </w:rPr>
        <w:t xml:space="preserve"> </w:t>
      </w:r>
      <w:r w:rsidRPr="00836663">
        <w:rPr>
          <w:rFonts w:ascii="Rockwell" w:eastAsia="Times New Roman" w:hAnsi="Rockwell"/>
          <w:sz w:val="22"/>
          <w:szCs w:val="22"/>
        </w:rPr>
        <w:t>IPR2020-00344, Paper 7 (Jun. 23, 2020) (Grossman, joined by Browne and Moore).</w:t>
      </w:r>
    </w:p>
    <w:p w:rsidR="000F3601" w:rsidRPr="002706B4" w:rsidRDefault="000F3601" w:rsidP="000F3601">
      <w:pPr>
        <w:pStyle w:val="NormalWeb"/>
        <w:rPr>
          <w:rFonts w:ascii="Rockwell" w:hAnsi="Rockwell"/>
          <w:sz w:val="22"/>
          <w:szCs w:val="22"/>
        </w:rPr>
      </w:pPr>
      <w:r>
        <w:rPr>
          <w:rFonts w:ascii="Rockwell" w:hAnsi="Rockwell"/>
          <w:sz w:val="22"/>
          <w:szCs w:val="22"/>
        </w:rPr>
        <w:pict>
          <v:rect id="_x0000_i1025" style="width:0;height:1.5pt" o:hralign="center" o:hrstd="t" o:hr="t" fillcolor="#a0a0a0" stroked="f"/>
        </w:pict>
      </w:r>
    </w:p>
    <w:p w:rsidR="000F3601" w:rsidRPr="00836663" w:rsidRDefault="000F3601" w:rsidP="000F3601">
      <w:pPr>
        <w:pStyle w:val="NormalWeb"/>
        <w:rPr>
          <w:rFonts w:ascii="Rockwell" w:hAnsi="Rockwell"/>
          <w:sz w:val="22"/>
          <w:szCs w:val="22"/>
        </w:rPr>
      </w:pPr>
      <w:r w:rsidRPr="00836663">
        <w:rPr>
          <w:rFonts w:ascii="Rockwell" w:hAnsi="Rockwell"/>
          <w:sz w:val="22"/>
          <w:szCs w:val="22"/>
        </w:rPr>
        <w:t xml:space="preserve">As a leader in post-issuance proceedings, Banner </w:t>
      </w:r>
      <w:proofErr w:type="spellStart"/>
      <w:r w:rsidRPr="00836663">
        <w:rPr>
          <w:rFonts w:ascii="Rockwell" w:hAnsi="Rockwell"/>
          <w:sz w:val="22"/>
          <w:szCs w:val="22"/>
        </w:rPr>
        <w:t>Witcoff</w:t>
      </w:r>
      <w:proofErr w:type="spellEnd"/>
      <w:r w:rsidRPr="00836663">
        <w:rPr>
          <w:rFonts w:ascii="Rockwell" w:hAnsi="Rockwell"/>
          <w:sz w:val="22"/>
          <w:szCs w:val="22"/>
        </w:rPr>
        <w:t xml:space="preserve"> is committed to staying on top of the latest developments at the Patent Trial and Appeal Board (PTAB). This post is part of our PTAB Highlights series, a regular summary of recent PTAB decisions designed to keep you up-to-date and informed of rulings affecting this constantly evolving area of the law.</w:t>
      </w:r>
    </w:p>
    <w:p w:rsidR="000F3601" w:rsidRPr="00836663" w:rsidRDefault="000F3601" w:rsidP="000F3601">
      <w:pPr>
        <w:pStyle w:val="NormalWeb"/>
        <w:rPr>
          <w:rFonts w:ascii="Rockwell" w:hAnsi="Rockwell"/>
          <w:sz w:val="22"/>
          <w:szCs w:val="22"/>
        </w:rPr>
      </w:pPr>
      <w:r w:rsidRPr="00836663">
        <w:rPr>
          <w:rFonts w:ascii="Rockwell" w:hAnsi="Rockwell"/>
          <w:sz w:val="22"/>
          <w:szCs w:val="22"/>
        </w:rPr>
        <w:t xml:space="preserve">Banner </w:t>
      </w:r>
      <w:proofErr w:type="spellStart"/>
      <w:r w:rsidRPr="00836663">
        <w:rPr>
          <w:rFonts w:ascii="Rockwell" w:hAnsi="Rockwell"/>
          <w:sz w:val="22"/>
          <w:szCs w:val="22"/>
        </w:rPr>
        <w:t>Witcoff</w:t>
      </w:r>
      <w:proofErr w:type="spellEnd"/>
      <w:r w:rsidRPr="00836663">
        <w:rPr>
          <w:rFonts w:ascii="Rockwell" w:hAnsi="Rockwell"/>
          <w:sz w:val="22"/>
          <w:szCs w:val="22"/>
        </w:rPr>
        <w:t xml:space="preserve"> is recognized as one of the best performing and most active law firms representing clients in </w:t>
      </w:r>
      <w:r w:rsidRPr="00836663">
        <w:rPr>
          <w:rStyle w:val="Emphasis"/>
          <w:rFonts w:ascii="Rockwell" w:hAnsi="Rockwell"/>
          <w:sz w:val="22"/>
          <w:szCs w:val="22"/>
        </w:rPr>
        <w:t xml:space="preserve">inter </w:t>
      </w:r>
      <w:proofErr w:type="spellStart"/>
      <w:r w:rsidRPr="00836663">
        <w:rPr>
          <w:rStyle w:val="Emphasis"/>
          <w:rFonts w:ascii="Rockwell" w:hAnsi="Rockwell"/>
          <w:sz w:val="22"/>
          <w:szCs w:val="22"/>
        </w:rPr>
        <w:t>partes</w:t>
      </w:r>
      <w:proofErr w:type="spellEnd"/>
      <w:r w:rsidRPr="00836663">
        <w:rPr>
          <w:rFonts w:ascii="Rockwell" w:hAnsi="Rockwell"/>
          <w:sz w:val="22"/>
          <w:szCs w:val="22"/>
        </w:rPr>
        <w:t xml:space="preserve"> review (IPR) proceedings. To learn more about our team of seasoned attorneys and their capabilities and experience in this space, click </w:t>
      </w:r>
      <w:hyperlink r:id="rId11" w:history="1">
        <w:r w:rsidRPr="00836663">
          <w:rPr>
            <w:rStyle w:val="Hyperlink"/>
            <w:rFonts w:ascii="Rockwell" w:hAnsi="Rockwell"/>
            <w:sz w:val="22"/>
            <w:szCs w:val="22"/>
          </w:rPr>
          <w:t>here</w:t>
        </w:r>
      </w:hyperlink>
      <w:r w:rsidRPr="00836663">
        <w:rPr>
          <w:rFonts w:ascii="Rockwell" w:hAnsi="Rockwell"/>
          <w:sz w:val="22"/>
          <w:szCs w:val="22"/>
        </w:rPr>
        <w:t xml:space="preserve">. </w:t>
      </w:r>
    </w:p>
    <w:p w:rsidR="000F3601" w:rsidRPr="00836663" w:rsidRDefault="000F3601" w:rsidP="000F3601">
      <w:pPr>
        <w:pStyle w:val="NormalWeb"/>
        <w:rPr>
          <w:rFonts w:ascii="Rockwell" w:hAnsi="Rockwell"/>
          <w:sz w:val="22"/>
          <w:szCs w:val="22"/>
        </w:rPr>
      </w:pPr>
      <w:r w:rsidRPr="00836663">
        <w:rPr>
          <w:rStyle w:val="Emphasis"/>
          <w:rFonts w:ascii="Rockwell" w:hAnsi="Rockwell"/>
          <w:sz w:val="22"/>
          <w:szCs w:val="22"/>
        </w:rPr>
        <w:t xml:space="preserve">Banner </w:t>
      </w:r>
      <w:proofErr w:type="spellStart"/>
      <w:r w:rsidRPr="00836663">
        <w:rPr>
          <w:rStyle w:val="Emphasis"/>
          <w:rFonts w:ascii="Rockwell" w:hAnsi="Rockwell"/>
          <w:sz w:val="22"/>
          <w:szCs w:val="22"/>
        </w:rPr>
        <w:t>Witcoff’s</w:t>
      </w:r>
      <w:proofErr w:type="spellEnd"/>
      <w:r w:rsidRPr="00836663">
        <w:rPr>
          <w:rStyle w:val="Emphasis"/>
          <w:rFonts w:ascii="Rockwell" w:hAnsi="Rockwell"/>
          <w:sz w:val="22"/>
          <w:szCs w:val="22"/>
        </w:rPr>
        <w:t xml:space="preserve"> PTAB Highlights are provided as information of general interest. They are not intended to offer legal advice nor do they create an attorney-client relationship.  </w:t>
      </w:r>
    </w:p>
    <w:p w:rsidR="005C1BDC" w:rsidRDefault="005C1BDC"/>
    <w:sectPr w:rsidR="005C1B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601"/>
    <w:rsid w:val="000F3601"/>
    <w:rsid w:val="005C1BDC"/>
    <w:rsid w:val="00F30BD6"/>
    <w:rsid w:val="00F9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19884"/>
  <w15:chartTrackingRefBased/>
  <w15:docId w15:val="{47BCDE56-3902-476D-999F-5691E49C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60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3601"/>
    <w:rPr>
      <w:color w:val="000080"/>
      <w:u w:val="single"/>
    </w:rPr>
  </w:style>
  <w:style w:type="paragraph" w:styleId="NormalWeb">
    <w:name w:val="Normal (Web)"/>
    <w:basedOn w:val="Normal"/>
    <w:uiPriority w:val="99"/>
    <w:rsid w:val="000F3601"/>
    <w:pPr>
      <w:autoSpaceDE w:val="0"/>
      <w:autoSpaceDN w:val="0"/>
      <w:adjustRightInd w:val="0"/>
      <w:spacing w:before="100" w:beforeAutospacing="1" w:after="100" w:afterAutospacing="1"/>
      <w:jc w:val="both"/>
    </w:pPr>
    <w:rPr>
      <w:rFonts w:ascii="Arial Unicode MS" w:eastAsia="Arial Unicode MS" w:hAnsi="Arial Unicode MS" w:cs="Arial Unicode MS"/>
      <w:szCs w:val="20"/>
    </w:rPr>
  </w:style>
  <w:style w:type="character" w:styleId="Emphasis">
    <w:name w:val="Emphasis"/>
    <w:basedOn w:val="DefaultParagraphFont"/>
    <w:uiPriority w:val="20"/>
    <w:qFormat/>
    <w:rsid w:val="000F3601"/>
    <w:rPr>
      <w:i/>
      <w:iCs/>
    </w:rPr>
  </w:style>
  <w:style w:type="paragraph" w:customStyle="1" w:styleId="Default">
    <w:name w:val="Default"/>
    <w:basedOn w:val="Normal"/>
    <w:rsid w:val="000F3601"/>
    <w:pPr>
      <w:autoSpaceDE w:val="0"/>
      <w:autoSpaceDN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nnerwitcoff.com/wp-content/uploads/2020/07/PTAB-IPR2020-00127-20.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annerwitcoff.com/wp-content/uploads/2020/07/PTAB-IPR2017-01186-58.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nnerwitcoff.com/wp-content/uploads/2020/07/PTAB-IPR2020-00272-8.pdf" TargetMode="External"/><Relationship Id="rId11" Type="http://schemas.openxmlformats.org/officeDocument/2006/relationships/hyperlink" Target="https://bannerwitcoff.com/practices/ptab-litigation/" TargetMode="External"/><Relationship Id="rId5" Type="http://schemas.openxmlformats.org/officeDocument/2006/relationships/hyperlink" Target="https://bannerwitcoff.com/wp-content/uploads/2020/07/PTAB-IPR2020-00233-16.pdf" TargetMode="External"/><Relationship Id="rId10" Type="http://schemas.openxmlformats.org/officeDocument/2006/relationships/hyperlink" Target="https://bannerwitcoff.com/wp-content/uploads/2020/07/PTAB-IPR2020-00344-7.pdf" TargetMode="External"/><Relationship Id="rId4" Type="http://schemas.openxmlformats.org/officeDocument/2006/relationships/image" Target="media/image1.png"/><Relationship Id="rId9" Type="http://schemas.openxmlformats.org/officeDocument/2006/relationships/hyperlink" Target="https://bannerwitcoff.com/wp-content/uploads/2020/07/PTAB-IPR2020-00513-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Banner &amp; Witcoff, Ltd</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A. Krajelis</dc:creator>
  <cp:keywords/>
  <dc:description/>
  <cp:lastModifiedBy>Bethany A. Krajelis</cp:lastModifiedBy>
  <cp:revision>2</cp:revision>
  <dcterms:created xsi:type="dcterms:W3CDTF">2020-07-02T21:40:00Z</dcterms:created>
  <dcterms:modified xsi:type="dcterms:W3CDTF">2020-07-02T21:48:00Z</dcterms:modified>
</cp:coreProperties>
</file>