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743" w:rsidRDefault="00451743" w:rsidP="00451743">
      <w:pPr>
        <w:autoSpaceDE w:val="0"/>
        <w:autoSpaceDN w:val="0"/>
        <w:adjustRightInd w:val="0"/>
        <w:jc w:val="center"/>
        <w:rPr>
          <w:bCs/>
          <w:sz w:val="28"/>
          <w:szCs w:val="28"/>
        </w:rPr>
      </w:pPr>
      <w:r>
        <w:rPr>
          <w:b/>
          <w:bCs/>
          <w:noProof/>
          <w:sz w:val="28"/>
          <w:szCs w:val="28"/>
        </w:rPr>
        <w:drawing>
          <wp:inline distT="0" distB="0" distL="0" distR="0" wp14:anchorId="152898A7" wp14:editId="51750600">
            <wp:extent cx="3429000" cy="619125"/>
            <wp:effectExtent l="0" t="0" r="0" b="9525"/>
            <wp:docPr id="1" name="Picture 1" descr="B&amp;W_logo_hi_r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_logo_hi_res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0" cy="619125"/>
                    </a:xfrm>
                    <a:prstGeom prst="rect">
                      <a:avLst/>
                    </a:prstGeom>
                    <a:noFill/>
                    <a:ln>
                      <a:noFill/>
                    </a:ln>
                  </pic:spPr>
                </pic:pic>
              </a:graphicData>
            </a:graphic>
          </wp:inline>
        </w:drawing>
      </w:r>
    </w:p>
    <w:p w:rsidR="00451743" w:rsidRDefault="00451743" w:rsidP="00451743">
      <w:pPr>
        <w:autoSpaceDE w:val="0"/>
        <w:autoSpaceDN w:val="0"/>
        <w:adjustRightInd w:val="0"/>
        <w:jc w:val="center"/>
        <w:rPr>
          <w:rFonts w:ascii="Arial" w:hAnsi="Arial" w:cs="Arial"/>
          <w:color w:val="000081"/>
          <w:sz w:val="40"/>
          <w:szCs w:val="40"/>
        </w:rPr>
      </w:pPr>
    </w:p>
    <w:p w:rsidR="006814DA" w:rsidRPr="006814DA" w:rsidRDefault="006814DA" w:rsidP="006814DA">
      <w:pPr>
        <w:autoSpaceDE w:val="0"/>
        <w:autoSpaceDN w:val="0"/>
        <w:adjustRightInd w:val="0"/>
        <w:jc w:val="center"/>
        <w:rPr>
          <w:rFonts w:ascii="Arial" w:hAnsi="Arial" w:cs="Arial"/>
          <w:color w:val="000081"/>
        </w:rPr>
      </w:pPr>
      <w:r w:rsidRPr="006814DA">
        <w:rPr>
          <w:rFonts w:ascii="Arial" w:hAnsi="Arial" w:cs="Arial"/>
          <w:color w:val="000081"/>
          <w:sz w:val="40"/>
          <w:szCs w:val="40"/>
        </w:rPr>
        <w:t xml:space="preserve">Intellectual Property Alert: </w:t>
      </w:r>
    </w:p>
    <w:p w:rsidR="00F96B71" w:rsidRDefault="00F96B71" w:rsidP="006814DA">
      <w:pPr>
        <w:autoSpaceDE w:val="0"/>
        <w:autoSpaceDN w:val="0"/>
        <w:adjustRightInd w:val="0"/>
        <w:jc w:val="center"/>
        <w:rPr>
          <w:rFonts w:ascii="Arial" w:hAnsi="Arial" w:cs="Arial"/>
          <w:color w:val="000081"/>
          <w:sz w:val="28"/>
          <w:szCs w:val="28"/>
        </w:rPr>
      </w:pPr>
      <w:r>
        <w:rPr>
          <w:rFonts w:ascii="Arial" w:hAnsi="Arial" w:cs="Arial"/>
          <w:color w:val="000081"/>
          <w:sz w:val="28"/>
          <w:szCs w:val="28"/>
        </w:rPr>
        <w:t>F</w:t>
      </w:r>
      <w:r w:rsidRPr="00467C71">
        <w:rPr>
          <w:rFonts w:ascii="Arial" w:hAnsi="Arial" w:cs="Arial"/>
          <w:color w:val="000081"/>
          <w:sz w:val="28"/>
          <w:szCs w:val="28"/>
        </w:rPr>
        <w:t xml:space="preserve">irst PTAB Decision Reversing Examiner </w:t>
      </w:r>
    </w:p>
    <w:p w:rsidR="006814DA" w:rsidRPr="003225BD" w:rsidRDefault="00F96B71" w:rsidP="006814DA">
      <w:pPr>
        <w:autoSpaceDE w:val="0"/>
        <w:autoSpaceDN w:val="0"/>
        <w:adjustRightInd w:val="0"/>
        <w:jc w:val="center"/>
        <w:rPr>
          <w:rFonts w:ascii="Arial" w:hAnsi="Arial" w:cs="Arial"/>
          <w:color w:val="000081"/>
          <w:sz w:val="28"/>
          <w:szCs w:val="28"/>
        </w:rPr>
      </w:pPr>
      <w:r w:rsidRPr="00467C71">
        <w:rPr>
          <w:rFonts w:ascii="Arial" w:hAnsi="Arial" w:cs="Arial"/>
          <w:color w:val="000081"/>
          <w:sz w:val="28"/>
          <w:szCs w:val="28"/>
        </w:rPr>
        <w:t>Under New Subject Matter Eligibility Guidance</w:t>
      </w:r>
    </w:p>
    <w:p w:rsidR="00FB0E86" w:rsidRDefault="00FB0E86" w:rsidP="006814DA">
      <w:pPr>
        <w:autoSpaceDE w:val="0"/>
        <w:autoSpaceDN w:val="0"/>
        <w:adjustRightInd w:val="0"/>
        <w:jc w:val="center"/>
        <w:rPr>
          <w:color w:val="000000"/>
        </w:rPr>
      </w:pPr>
    </w:p>
    <w:p w:rsidR="00F96B71" w:rsidRPr="00272775" w:rsidRDefault="00FB0E86" w:rsidP="00F96B71">
      <w:pPr>
        <w:jc w:val="center"/>
      </w:pPr>
      <w:r>
        <w:rPr>
          <w:color w:val="000000"/>
        </w:rPr>
        <w:t xml:space="preserve">By </w:t>
      </w:r>
      <w:r w:rsidR="00F96B71" w:rsidRPr="00272775">
        <w:t>Craig W. Kronenthal</w:t>
      </w:r>
      <w:r w:rsidR="00F96B71">
        <w:t xml:space="preserve"> and Aseet Patel</w:t>
      </w:r>
    </w:p>
    <w:p w:rsidR="006814DA" w:rsidRPr="006814DA" w:rsidRDefault="00547538" w:rsidP="006814DA">
      <w:pPr>
        <w:autoSpaceDE w:val="0"/>
        <w:autoSpaceDN w:val="0"/>
        <w:adjustRightInd w:val="0"/>
        <w:jc w:val="center"/>
        <w:rPr>
          <w:bCs/>
        </w:rPr>
      </w:pPr>
      <w:r>
        <w:rPr>
          <w:color w:val="000000"/>
        </w:rPr>
        <w:br/>
      </w:r>
    </w:p>
    <w:p w:rsidR="00F96B71" w:rsidRPr="00272775" w:rsidRDefault="00F96B71" w:rsidP="00F96B71">
      <w:r>
        <w:t xml:space="preserve">February </w:t>
      </w:r>
      <w:r w:rsidR="00E23DEF">
        <w:t>2</w:t>
      </w:r>
      <w:r w:rsidRPr="00272775">
        <w:t xml:space="preserve">, 2019 – The </w:t>
      </w:r>
      <w:r>
        <w:t>Patent Trial and Appeal Board (</w:t>
      </w:r>
      <w:r w:rsidRPr="00272775">
        <w:t>PTAB</w:t>
      </w:r>
      <w:r>
        <w:t>)</w:t>
      </w:r>
      <w:r w:rsidRPr="00272775">
        <w:t xml:space="preserve">, in an </w:t>
      </w:r>
      <w:r w:rsidRPr="00272775">
        <w:rPr>
          <w:i/>
        </w:rPr>
        <w:t>ex parte</w:t>
      </w:r>
      <w:r w:rsidRPr="00272775">
        <w:t xml:space="preserve"> appeal (Appeal No. 2017-002898), reversed the examiner’s § 101 rejection based on the USPTO’s new </w:t>
      </w:r>
      <w:r>
        <w:t xml:space="preserve">January 2019 </w:t>
      </w:r>
      <w:r w:rsidRPr="00272775">
        <w:t>subject matter eligibility guidance.</w:t>
      </w:r>
    </w:p>
    <w:p w:rsidR="00F96B71" w:rsidRPr="00272775" w:rsidRDefault="00F96B71" w:rsidP="00F96B71"/>
    <w:p w:rsidR="00F96B71" w:rsidRDefault="00F96B71" w:rsidP="00F96B71">
      <w:r>
        <w:t>O</w:t>
      </w:r>
      <w:r w:rsidRPr="00272775">
        <w:t xml:space="preserve">n </w:t>
      </w:r>
      <w:r>
        <w:t xml:space="preserve">November 2, 2011, Microsoft filed a U.S. patent application entitled “Extensibility Model </w:t>
      </w:r>
      <w:proofErr w:type="gramStart"/>
      <w:r>
        <w:t>For Usage Analytics Used With A</w:t>
      </w:r>
      <w:proofErr w:type="gramEnd"/>
      <w:r>
        <w:t xml:space="preserve"> System.”  As explained in the appeal brief, the application describes methods and systems for configuring usage events to collect usage information and integrating the usage information into a system to provide, for example, a search service that provides search results based on the collected usage information.  </w:t>
      </w:r>
    </w:p>
    <w:p w:rsidR="00F96B71" w:rsidRDefault="00F96B71" w:rsidP="00F96B71"/>
    <w:p w:rsidR="00F96B71" w:rsidRDefault="00F96B71" w:rsidP="00F96B71">
      <w:r>
        <w:t xml:space="preserve">During prosecution, the applicant overcame rejections under 35 U.S.C. §§ 101, 102, and 103, and a notice of allowance was issued on April 7, 2014.  Then, following the Supreme Court’s </w:t>
      </w:r>
      <w:r w:rsidRPr="00F63DDF">
        <w:rPr>
          <w:i/>
        </w:rPr>
        <w:t>Alice</w:t>
      </w:r>
      <w:r>
        <w:rPr>
          <w:i/>
        </w:rPr>
        <w:t xml:space="preserve"> Corp. Pty. Ltd. v. CLS Bank Intern.</w:t>
      </w:r>
      <w:r>
        <w:t xml:space="preserve"> </w:t>
      </w:r>
      <w:proofErr w:type="gramStart"/>
      <w:r>
        <w:t>decision</w:t>
      </w:r>
      <w:proofErr w:type="gramEnd"/>
      <w:r>
        <w:t xml:space="preserve"> on June 19, 2014, the examiner issued a non-final Office Action withdrawing the allowance on July 30, 2014.  The Office Action included only a new § 101 rejection alleging that the claims were directed to an abstract idea under </w:t>
      </w:r>
      <w:r w:rsidRPr="0098455B">
        <w:rPr>
          <w:i/>
        </w:rPr>
        <w:t>Alice</w:t>
      </w:r>
      <w:r w:rsidR="00507295">
        <w:t xml:space="preserve">. </w:t>
      </w:r>
      <w:r>
        <w:t>After several additional amendments and office actions, the applicant filed a notice of appeal, on May 17, 2016, appealing the § 101 rejection as to all claims.</w:t>
      </w:r>
    </w:p>
    <w:p w:rsidR="00F96B71" w:rsidRDefault="00F96B71" w:rsidP="00F96B71"/>
    <w:p w:rsidR="00F96B71" w:rsidRDefault="00F96B71" w:rsidP="00F96B71">
      <w:r>
        <w:t>Representative claim 1 recites:</w:t>
      </w:r>
    </w:p>
    <w:p w:rsidR="00F96B71" w:rsidRDefault="00F96B71" w:rsidP="00F96B71"/>
    <w:p w:rsidR="00F96B71" w:rsidRDefault="00F96B71" w:rsidP="00F96B71">
      <w:pPr>
        <w:jc w:val="center"/>
      </w:pPr>
      <w:r>
        <w:rPr>
          <w:noProof/>
        </w:rPr>
        <w:drawing>
          <wp:inline distT="0" distB="0" distL="0" distR="0" wp14:anchorId="71B5F7A2" wp14:editId="6CE9E5A7">
            <wp:extent cx="3059298" cy="241017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69612" cy="2418303"/>
                    </a:xfrm>
                    <a:prstGeom prst="rect">
                      <a:avLst/>
                    </a:prstGeom>
                  </pic:spPr>
                </pic:pic>
              </a:graphicData>
            </a:graphic>
          </wp:inline>
        </w:drawing>
      </w:r>
    </w:p>
    <w:p w:rsidR="00F96B71" w:rsidRDefault="00F96B71" w:rsidP="00F96B71"/>
    <w:p w:rsidR="007C60F6" w:rsidRDefault="007C60F6" w:rsidP="007C60F6">
      <w:r>
        <w:t>In the Examiner’s Answer to appellant’s appeal brief, the examiner asserted that “[t]he claims are directed towards a method for collecting usage information which includes an abstract idea” and “[t]he claims do not include limitations that are ‘significantly more’ than the abstract idea.”  The PTAB disagreed.</w:t>
      </w:r>
    </w:p>
    <w:p w:rsidR="00F96B71" w:rsidRDefault="00F96B71" w:rsidP="00F96B71"/>
    <w:p w:rsidR="00F96B71" w:rsidRDefault="00F96B71" w:rsidP="00F96B71">
      <w:r>
        <w:t xml:space="preserve">On January 22, 2019, the PTAB issued its Decision on Appeal overturning the examiner’s rejection.  The PTAB’s analysis begins with an in-depth look at patent eligibility, including a detailed discussion of the two-part Alice/May framework.  The PTAB then, </w:t>
      </w:r>
      <w:proofErr w:type="spellStart"/>
      <w:r w:rsidRPr="002F5AC3">
        <w:rPr>
          <w:i/>
        </w:rPr>
        <w:t>sua</w:t>
      </w:r>
      <w:proofErr w:type="spellEnd"/>
      <w:r w:rsidRPr="002F5AC3">
        <w:rPr>
          <w:i/>
        </w:rPr>
        <w:t xml:space="preserve"> </w:t>
      </w:r>
      <w:proofErr w:type="spellStart"/>
      <w:r w:rsidRPr="002F5AC3">
        <w:rPr>
          <w:i/>
        </w:rPr>
        <w:t>sponte</w:t>
      </w:r>
      <w:proofErr w:type="spellEnd"/>
      <w:r>
        <w:t xml:space="preserve">, turns to the </w:t>
      </w:r>
      <w:r w:rsidRPr="00D97078">
        <w:rPr>
          <w:i/>
        </w:rPr>
        <w:t>2019 Revised Patent Subject Matter Eligibility Guidance</w:t>
      </w:r>
      <w:r>
        <w:t>.  On January 7, 2019, the USPTO published new guidance for applying § 101.  Under the new guidance, step 2A of the previous framework has been revised to include two prongs:</w:t>
      </w:r>
    </w:p>
    <w:p w:rsidR="00F96B71" w:rsidRDefault="00F96B71" w:rsidP="00F96B7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Prong One: evaluate whether a claim recites a judicial exception including identifying specific limitation(s) that are believed to recite an abstract idea and determining whether the identified limitation(s) fall within an enumerated abstract idea grouping</w:t>
      </w:r>
    </w:p>
    <w:p w:rsidR="00F96B71" w:rsidRPr="00D740B7" w:rsidRDefault="00F96B71" w:rsidP="00F96B7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Prong Two: evaluate whether the claim integrates the judicial exception into a practical application.</w:t>
      </w:r>
    </w:p>
    <w:p w:rsidR="00F96B71" w:rsidRDefault="00F96B71" w:rsidP="00F96B71"/>
    <w:p w:rsidR="00F96B71" w:rsidRDefault="00F96B71" w:rsidP="00F96B71">
      <w:r w:rsidRPr="006627C5">
        <w:t>The PTAB took note of these new prongs, and in particular, the three abstract idea groupings</w:t>
      </w:r>
      <w:r>
        <w:t xml:space="preserve">: (i) mathematical concepts, (ii) certain methods of organizing human activity, and (iii) mental processes.  </w:t>
      </w:r>
      <w:r w:rsidRPr="006627C5">
        <w:t>The PTAB then found that “[i]n light of our guidance, because collecting usage information is not a mathematical concept, an identified method of organizing human activity, or a mental process, we conclude ‘collecting usage information’ it [</w:t>
      </w:r>
      <w:r w:rsidRPr="006627C5">
        <w:rPr>
          <w:i/>
        </w:rPr>
        <w:t>sic</w:t>
      </w:r>
      <w:r w:rsidRPr="006627C5">
        <w:t>] is not an abstract idea.”  Accordingly, the PTAB reversed the § 101 rejection as to all claims.</w:t>
      </w:r>
      <w:r>
        <w:t xml:space="preserve">  </w:t>
      </w:r>
    </w:p>
    <w:p w:rsidR="00F96B71" w:rsidRDefault="00F96B71" w:rsidP="00F96B71"/>
    <w:p w:rsidR="006C25A3" w:rsidRPr="00272775" w:rsidRDefault="006C25A3" w:rsidP="006C25A3">
      <w:r>
        <w:t xml:space="preserve">This </w:t>
      </w:r>
      <w:r w:rsidRPr="007A3946">
        <w:t xml:space="preserve">marks the first time that PTAB has reversed a § 101 rejection under the recently issued subject matter eligibility </w:t>
      </w:r>
      <w:r w:rsidRPr="0052688B">
        <w:rPr>
          <w:highlight w:val="yellow"/>
        </w:rPr>
        <w:t>guidance.</w:t>
      </w:r>
      <w:r w:rsidRPr="0052688B">
        <w:rPr>
          <w:rStyle w:val="EndnoteReference"/>
          <w:highlight w:val="yellow"/>
        </w:rPr>
        <w:endnoteReference w:id="1"/>
      </w:r>
      <w:r>
        <w:t xml:space="preserve">  Whether it also signals a shift in PTAB decisions to come, remains to be seen.</w:t>
      </w:r>
    </w:p>
    <w:p w:rsidR="006814DA" w:rsidRPr="003225BD" w:rsidRDefault="006814DA" w:rsidP="003225BD">
      <w:pPr>
        <w:spacing w:line="276" w:lineRule="auto"/>
        <w:rPr>
          <w:rFonts w:eastAsiaTheme="minorHAnsi"/>
        </w:rPr>
      </w:pPr>
      <w:bookmarkStart w:id="0" w:name="_GoBack"/>
      <w:bookmarkEnd w:id="0"/>
    </w:p>
    <w:p w:rsidR="00EC19E8" w:rsidRPr="00EC19E8" w:rsidRDefault="00EC19E8" w:rsidP="00EC19E8">
      <w:pPr>
        <w:autoSpaceDE w:val="0"/>
        <w:autoSpaceDN w:val="0"/>
        <w:adjustRightInd w:val="0"/>
        <w:rPr>
          <w:rFonts w:eastAsiaTheme="minorHAnsi"/>
          <w:iCs/>
        </w:rPr>
      </w:pPr>
    </w:p>
    <w:p w:rsidR="00451743" w:rsidRPr="00A42A53" w:rsidRDefault="00451743" w:rsidP="00EC19E8">
      <w:pPr>
        <w:pStyle w:val="NormalWeb"/>
        <w:spacing w:line="276" w:lineRule="auto"/>
        <w:jc w:val="center"/>
        <w:rPr>
          <w:color w:val="000000"/>
          <w:sz w:val="20"/>
          <w:szCs w:val="20"/>
        </w:rPr>
      </w:pPr>
      <w:r w:rsidRPr="00A42A53">
        <w:rPr>
          <w:color w:val="000000"/>
          <w:sz w:val="20"/>
          <w:szCs w:val="20"/>
        </w:rPr>
        <w:t>To subscribe or unsubscribe to this Intellectual Property Advisory,</w:t>
      </w:r>
    </w:p>
    <w:p w:rsidR="00451743" w:rsidRDefault="00451743" w:rsidP="00451743">
      <w:pPr>
        <w:jc w:val="center"/>
        <w:rPr>
          <w:color w:val="0000FF"/>
          <w:sz w:val="20"/>
          <w:szCs w:val="20"/>
          <w:u w:val="single"/>
        </w:rPr>
      </w:pPr>
      <w:proofErr w:type="gramStart"/>
      <w:r w:rsidRPr="00A42A53">
        <w:rPr>
          <w:color w:val="000000"/>
          <w:sz w:val="20"/>
          <w:szCs w:val="20"/>
        </w:rPr>
        <w:t>please</w:t>
      </w:r>
      <w:proofErr w:type="gramEnd"/>
      <w:r w:rsidRPr="00A42A53">
        <w:rPr>
          <w:color w:val="000000"/>
          <w:sz w:val="20"/>
          <w:szCs w:val="20"/>
        </w:rPr>
        <w:t xml:space="preserve"> send a message to Chris Hummel at </w:t>
      </w:r>
      <w:hyperlink r:id="rId9" w:history="1">
        <w:r w:rsidRPr="00103CA4">
          <w:rPr>
            <w:rStyle w:val="Hyperlink"/>
            <w:sz w:val="20"/>
            <w:szCs w:val="20"/>
          </w:rPr>
          <w:t>chummel@bannerwitcoff.com</w:t>
        </w:r>
      </w:hyperlink>
      <w:r w:rsidR="00175931" w:rsidRPr="00175931">
        <w:rPr>
          <w:rStyle w:val="Hyperlink"/>
          <w:color w:val="auto"/>
          <w:sz w:val="20"/>
          <w:szCs w:val="20"/>
        </w:rPr>
        <w:t>.</w:t>
      </w:r>
    </w:p>
    <w:p w:rsidR="00451743" w:rsidRDefault="00451743" w:rsidP="00451743">
      <w:pPr>
        <w:jc w:val="center"/>
        <w:rPr>
          <w:color w:val="0000FF"/>
          <w:sz w:val="20"/>
          <w:szCs w:val="20"/>
          <w:u w:val="single"/>
        </w:rPr>
      </w:pPr>
    </w:p>
    <w:p w:rsidR="00451743" w:rsidRDefault="00451743" w:rsidP="00451743">
      <w:pPr>
        <w:rPr>
          <w:color w:val="0000FF"/>
          <w:sz w:val="20"/>
          <w:szCs w:val="20"/>
          <w:u w:val="single"/>
        </w:rPr>
      </w:pPr>
      <w:r>
        <w:rPr>
          <w:noProof/>
        </w:rPr>
        <w:drawing>
          <wp:anchor distT="0" distB="0" distL="114300" distR="114300" simplePos="0" relativeHeight="251659264" behindDoc="0" locked="0" layoutInCell="1" allowOverlap="1" wp14:anchorId="34857375" wp14:editId="7EAB146F">
            <wp:simplePos x="0" y="0"/>
            <wp:positionH relativeFrom="column">
              <wp:posOffset>1371600</wp:posOffset>
            </wp:positionH>
            <wp:positionV relativeFrom="paragraph">
              <wp:posOffset>19050</wp:posOffset>
            </wp:positionV>
            <wp:extent cx="2895600" cy="518160"/>
            <wp:effectExtent l="0" t="0" r="0" b="0"/>
            <wp:wrapSquare wrapText="right"/>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FF"/>
          <w:sz w:val="20"/>
          <w:szCs w:val="20"/>
          <w:u w:val="single"/>
        </w:rPr>
        <w:br w:type="textWrapping" w:clear="all"/>
      </w:r>
    </w:p>
    <w:p w:rsidR="00451743" w:rsidRDefault="00451743" w:rsidP="00451743">
      <w:pPr>
        <w:jc w:val="center"/>
        <w:rPr>
          <w:color w:val="0000FF"/>
          <w:sz w:val="18"/>
          <w:szCs w:val="18"/>
          <w:u w:val="single"/>
        </w:rPr>
      </w:pPr>
      <w:r w:rsidRPr="00A42A53">
        <w:rPr>
          <w:color w:val="0000FF"/>
          <w:sz w:val="18"/>
          <w:szCs w:val="18"/>
          <w:u w:val="single"/>
        </w:rPr>
        <w:t xml:space="preserve">www.bannerwitcoff.com </w:t>
      </w:r>
    </w:p>
    <w:p w:rsidR="00451743" w:rsidRPr="00A42A53" w:rsidRDefault="00451743" w:rsidP="00451743">
      <w:pPr>
        <w:jc w:val="center"/>
        <w:rPr>
          <w:color w:val="0000FF"/>
          <w:sz w:val="18"/>
          <w:szCs w:val="18"/>
        </w:rPr>
      </w:pPr>
    </w:p>
    <w:p w:rsidR="00451743" w:rsidRPr="000B6B98" w:rsidRDefault="000610C1" w:rsidP="00451743">
      <w:pPr>
        <w:pStyle w:val="Default"/>
        <w:jc w:val="both"/>
        <w:rPr>
          <w:rFonts w:ascii="Times New Roman" w:hAnsi="Times New Roman" w:cs="Times New Roman"/>
          <w:b/>
          <w:bCs/>
        </w:rPr>
      </w:pPr>
      <w:r>
        <w:rPr>
          <w:rFonts w:ascii="Times New Roman" w:hAnsi="Times New Roman" w:cs="Times New Roman"/>
          <w:sz w:val="16"/>
          <w:szCs w:val="16"/>
        </w:rPr>
        <w:t>© Copyright</w:t>
      </w:r>
      <w:r w:rsidR="000A1C54">
        <w:rPr>
          <w:rFonts w:ascii="Times New Roman" w:hAnsi="Times New Roman" w:cs="Times New Roman"/>
          <w:sz w:val="16"/>
          <w:szCs w:val="16"/>
        </w:rPr>
        <w:t xml:space="preserve"> 201</w:t>
      </w:r>
      <w:r w:rsidR="00F96B71">
        <w:rPr>
          <w:rFonts w:ascii="Times New Roman" w:hAnsi="Times New Roman" w:cs="Times New Roman"/>
          <w:sz w:val="16"/>
          <w:szCs w:val="16"/>
        </w:rPr>
        <w:t>9</w:t>
      </w:r>
      <w:r w:rsidR="00451743" w:rsidRPr="006B3FAE">
        <w:rPr>
          <w:rFonts w:ascii="Times New Roman" w:hAnsi="Times New Roman" w:cs="Times New Roman"/>
          <w:sz w:val="16"/>
          <w:szCs w:val="16"/>
        </w:rPr>
        <w:t xml:space="preserve"> Banner &amp; </w:t>
      </w:r>
      <w:proofErr w:type="spellStart"/>
      <w:r w:rsidR="00451743" w:rsidRPr="006B3FAE">
        <w:rPr>
          <w:rFonts w:ascii="Times New Roman" w:hAnsi="Times New Roman" w:cs="Times New Roman"/>
          <w:sz w:val="16"/>
          <w:szCs w:val="16"/>
        </w:rPr>
        <w:t>Witcoff</w:t>
      </w:r>
      <w:proofErr w:type="spellEnd"/>
      <w:r w:rsidR="00451743" w:rsidRPr="006B3FAE">
        <w:rPr>
          <w:rFonts w:ascii="Times New Roman" w:hAnsi="Times New Roman" w:cs="Times New Roman"/>
          <w:sz w:val="16"/>
          <w:szCs w:val="16"/>
        </w:rPr>
        <w:t>, Ltd. All Rights Reserved. The opinions expressed in this publication are for the purpose of fostering productive discussions of legal issues and do not constitute the rendering of legal counseling or other professional services. No attorney-client relationship is created, nor is there any offer to provide legal services, by the publication and distribution of this edition of IP Alert.</w:t>
      </w:r>
    </w:p>
    <w:p w:rsidR="005E1EC7" w:rsidRPr="00645018" w:rsidRDefault="005E1EC7" w:rsidP="00645018"/>
    <w:sectPr w:rsidR="005E1EC7" w:rsidRPr="00645018" w:rsidSect="006814DA">
      <w:footerReference w:type="even" r:id="rId12"/>
      <w:pgSz w:w="12240" w:h="15840"/>
      <w:pgMar w:top="1152"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0F5" w:rsidRDefault="00A620F5">
      <w:r>
        <w:separator/>
      </w:r>
    </w:p>
  </w:endnote>
  <w:endnote w:type="continuationSeparator" w:id="0">
    <w:p w:rsidR="00A620F5" w:rsidRDefault="00A620F5">
      <w:r>
        <w:continuationSeparator/>
      </w:r>
    </w:p>
  </w:endnote>
  <w:endnote w:id="1">
    <w:p w:rsidR="006C25A3" w:rsidRDefault="006C25A3" w:rsidP="006C25A3">
      <w:pPr>
        <w:pStyle w:val="EndnoteText"/>
      </w:pPr>
      <w:r w:rsidRPr="0052688B">
        <w:rPr>
          <w:rStyle w:val="EndnoteReference"/>
          <w:highlight w:val="yellow"/>
        </w:rPr>
        <w:endnoteRef/>
      </w:r>
      <w:r w:rsidRPr="0052688B">
        <w:rPr>
          <w:highlight w:val="yellow"/>
        </w:rPr>
        <w:t xml:space="preserve"> See also </w:t>
      </w:r>
      <w:r w:rsidRPr="0052688B">
        <w:rPr>
          <w:i/>
          <w:highlight w:val="yellow"/>
        </w:rPr>
        <w:t>ex parte Rockwell</w:t>
      </w:r>
      <w:r w:rsidRPr="0052688B">
        <w:rPr>
          <w:highlight w:val="yellow"/>
        </w:rPr>
        <w:t xml:space="preserve">, Appeal No. 2018-004973, Jan. 16, 2019, which predates </w:t>
      </w:r>
      <w:r w:rsidRPr="0052688B">
        <w:rPr>
          <w:i/>
          <w:highlight w:val="yellow"/>
        </w:rPr>
        <w:t xml:space="preserve">ex parte </w:t>
      </w:r>
      <w:proofErr w:type="spellStart"/>
      <w:r w:rsidRPr="0052688B">
        <w:rPr>
          <w:i/>
          <w:highlight w:val="yellow"/>
        </w:rPr>
        <w:t>Fanaru</w:t>
      </w:r>
      <w:proofErr w:type="spellEnd"/>
      <w:r w:rsidRPr="0052688B">
        <w:rPr>
          <w:i/>
          <w:highlight w:val="yellow"/>
        </w:rPr>
        <w:t xml:space="preserve"> </w:t>
      </w:r>
      <w:r w:rsidRPr="0052688B">
        <w:rPr>
          <w:highlight w:val="yellow"/>
        </w:rPr>
        <w:t>by about one week, but it seems that it was not available in online searches until a later date.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445" w:rsidRDefault="00645018">
    <w:pPr>
      <w:framePr w:wrap="around" w:vAnchor="text" w:hAnchor="margin" w:xAlign="center" w:y="1"/>
    </w:pPr>
    <w:r>
      <w:fldChar w:fldCharType="begin"/>
    </w:r>
    <w:r>
      <w:instrText xml:space="preserve">PAGE  </w:instrText>
    </w:r>
    <w:r>
      <w:fldChar w:fldCharType="end"/>
    </w:r>
  </w:p>
  <w:p w:rsidR="00B71445" w:rsidRDefault="00A620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0F5" w:rsidRDefault="00A620F5">
      <w:r>
        <w:separator/>
      </w:r>
    </w:p>
  </w:footnote>
  <w:footnote w:type="continuationSeparator" w:id="0">
    <w:p w:rsidR="00A620F5" w:rsidRDefault="00A62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91782"/>
    <w:multiLevelType w:val="hybridMultilevel"/>
    <w:tmpl w:val="93A0CCDE"/>
    <w:lvl w:ilvl="0" w:tplc="FA66A2A6">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7B4F00"/>
    <w:multiLevelType w:val="hybridMultilevel"/>
    <w:tmpl w:val="0F3A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743"/>
    <w:rsid w:val="000610C1"/>
    <w:rsid w:val="00062DD7"/>
    <w:rsid w:val="000A1C54"/>
    <w:rsid w:val="000A3623"/>
    <w:rsid w:val="001420AB"/>
    <w:rsid w:val="00175931"/>
    <w:rsid w:val="00184217"/>
    <w:rsid w:val="001B74C0"/>
    <w:rsid w:val="0021329E"/>
    <w:rsid w:val="00286BE4"/>
    <w:rsid w:val="002E101B"/>
    <w:rsid w:val="003147AC"/>
    <w:rsid w:val="003225BD"/>
    <w:rsid w:val="00451743"/>
    <w:rsid w:val="00492D03"/>
    <w:rsid w:val="00507295"/>
    <w:rsid w:val="005250A9"/>
    <w:rsid w:val="00547538"/>
    <w:rsid w:val="005E1EC7"/>
    <w:rsid w:val="00630A32"/>
    <w:rsid w:val="00645018"/>
    <w:rsid w:val="006814DA"/>
    <w:rsid w:val="006A7C57"/>
    <w:rsid w:val="006C25A3"/>
    <w:rsid w:val="007033A0"/>
    <w:rsid w:val="00752C32"/>
    <w:rsid w:val="007748EA"/>
    <w:rsid w:val="007C60F6"/>
    <w:rsid w:val="00860B9C"/>
    <w:rsid w:val="00932785"/>
    <w:rsid w:val="00994543"/>
    <w:rsid w:val="009C5BB5"/>
    <w:rsid w:val="00A4132B"/>
    <w:rsid w:val="00A620F5"/>
    <w:rsid w:val="00AE40F0"/>
    <w:rsid w:val="00B567E2"/>
    <w:rsid w:val="00BB307B"/>
    <w:rsid w:val="00C60C67"/>
    <w:rsid w:val="00CE3AA7"/>
    <w:rsid w:val="00D1512A"/>
    <w:rsid w:val="00D5564B"/>
    <w:rsid w:val="00D96724"/>
    <w:rsid w:val="00DF5113"/>
    <w:rsid w:val="00E23DEF"/>
    <w:rsid w:val="00E7522D"/>
    <w:rsid w:val="00EA68FF"/>
    <w:rsid w:val="00EC19E8"/>
    <w:rsid w:val="00F96B71"/>
    <w:rsid w:val="00FB0E86"/>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6CADE"/>
  <w15:docId w15:val="{09BB0355-63F7-4B7A-9371-AE5128C4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743"/>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apsUnd-DSTOC">
    <w:name w:val="_TitleCapsUnd-DS TOC"/>
    <w:aliases w:val="tcudtoc"/>
    <w:basedOn w:val="Normal"/>
    <w:uiPriority w:val="99"/>
    <w:rsid w:val="00645018"/>
    <w:pPr>
      <w:keepNext/>
      <w:keepLines/>
      <w:adjustRightInd w:val="0"/>
      <w:spacing w:line="480" w:lineRule="auto"/>
      <w:jc w:val="center"/>
      <w:outlineLvl w:val="0"/>
    </w:pPr>
    <w:rPr>
      <w:rFonts w:ascii="Times New (W1)" w:hAnsi="Times New (W1)"/>
      <w:b/>
      <w:caps/>
      <w:u w:val="single"/>
    </w:rPr>
  </w:style>
  <w:style w:type="paragraph" w:customStyle="1" w:styleId="TitleCapsUnd-SSTOC">
    <w:name w:val="_TitleCapsUnd-SS TOC"/>
    <w:aliases w:val="tcustoc"/>
    <w:basedOn w:val="Normal"/>
    <w:uiPriority w:val="99"/>
    <w:rsid w:val="00645018"/>
    <w:pPr>
      <w:keepNext/>
      <w:keepLines/>
      <w:adjustRightInd w:val="0"/>
      <w:spacing w:after="240"/>
      <w:jc w:val="center"/>
      <w:outlineLvl w:val="0"/>
    </w:pPr>
    <w:rPr>
      <w:rFonts w:ascii="Times New (W1)" w:hAnsi="Times New (W1)"/>
      <w:b/>
      <w:caps/>
      <w:u w:val="single"/>
    </w:rPr>
  </w:style>
  <w:style w:type="paragraph" w:customStyle="1" w:styleId="Title-DSTOC">
    <w:name w:val="_Title-DS TOC"/>
    <w:aliases w:val="tdtoc"/>
    <w:basedOn w:val="Normal"/>
    <w:uiPriority w:val="99"/>
    <w:rsid w:val="00645018"/>
    <w:pPr>
      <w:keepNext/>
      <w:keepLines/>
      <w:adjustRightInd w:val="0"/>
      <w:spacing w:line="480" w:lineRule="auto"/>
      <w:jc w:val="center"/>
      <w:outlineLvl w:val="0"/>
    </w:pPr>
    <w:rPr>
      <w:b/>
    </w:rPr>
  </w:style>
  <w:style w:type="paragraph" w:customStyle="1" w:styleId="Title-SSTOC">
    <w:name w:val="_Title-SS TOC"/>
    <w:aliases w:val="tstoc"/>
    <w:basedOn w:val="Normal"/>
    <w:uiPriority w:val="99"/>
    <w:rsid w:val="00645018"/>
    <w:pPr>
      <w:keepNext/>
      <w:keepLines/>
      <w:adjustRightInd w:val="0"/>
      <w:spacing w:after="240"/>
      <w:jc w:val="center"/>
      <w:outlineLvl w:val="0"/>
    </w:pPr>
    <w:rPr>
      <w:b/>
    </w:rPr>
  </w:style>
  <w:style w:type="paragraph" w:customStyle="1" w:styleId="TitleUnd-DSTOC">
    <w:name w:val="_TitleUnd-DS TOC"/>
    <w:aliases w:val="tudtoc"/>
    <w:basedOn w:val="Normal"/>
    <w:uiPriority w:val="99"/>
    <w:rsid w:val="00645018"/>
    <w:pPr>
      <w:keepNext/>
      <w:keepLines/>
      <w:adjustRightInd w:val="0"/>
      <w:spacing w:line="480" w:lineRule="auto"/>
      <w:jc w:val="center"/>
      <w:outlineLvl w:val="0"/>
    </w:pPr>
    <w:rPr>
      <w:b/>
      <w:u w:val="single"/>
    </w:rPr>
  </w:style>
  <w:style w:type="paragraph" w:customStyle="1" w:styleId="TitleUnd-SSTOC">
    <w:name w:val="_TitleUnd-SS TOC"/>
    <w:aliases w:val="tustoc"/>
    <w:basedOn w:val="Normal"/>
    <w:uiPriority w:val="99"/>
    <w:rsid w:val="00645018"/>
    <w:pPr>
      <w:keepNext/>
      <w:keepLines/>
      <w:adjustRightInd w:val="0"/>
      <w:spacing w:after="240"/>
      <w:jc w:val="center"/>
      <w:outlineLvl w:val="0"/>
    </w:pPr>
    <w:rPr>
      <w:b/>
      <w:u w:val="single"/>
    </w:rPr>
  </w:style>
  <w:style w:type="paragraph" w:customStyle="1" w:styleId="Address">
    <w:name w:val="_Address"/>
    <w:aliases w:val="a"/>
    <w:basedOn w:val="Normal"/>
    <w:next w:val="Normal"/>
    <w:uiPriority w:val="99"/>
    <w:rsid w:val="00645018"/>
    <w:pPr>
      <w:keepNext/>
    </w:pPr>
  </w:style>
  <w:style w:type="paragraph" w:customStyle="1" w:styleId="DoubleIndent5-DS">
    <w:name w:val="_DoubleIndent.5-DS"/>
    <w:aliases w:val="di5ds"/>
    <w:basedOn w:val="Normal"/>
    <w:uiPriority w:val="99"/>
    <w:rsid w:val="00645018"/>
    <w:pPr>
      <w:spacing w:line="480" w:lineRule="auto"/>
      <w:ind w:left="720" w:right="720"/>
      <w:jc w:val="both"/>
    </w:pPr>
  </w:style>
  <w:style w:type="paragraph" w:customStyle="1" w:styleId="DoubleIndent5-SS">
    <w:name w:val="_DoubleIndent.5-SS"/>
    <w:aliases w:val="di5ss"/>
    <w:basedOn w:val="Normal"/>
    <w:uiPriority w:val="99"/>
    <w:rsid w:val="00645018"/>
    <w:pPr>
      <w:spacing w:after="240"/>
      <w:ind w:left="720" w:right="720"/>
      <w:jc w:val="both"/>
    </w:pPr>
  </w:style>
  <w:style w:type="paragraph" w:customStyle="1" w:styleId="DoubleIndent1-DS">
    <w:name w:val="_DoubleIndent1-DS"/>
    <w:aliases w:val="di1ds"/>
    <w:basedOn w:val="Normal"/>
    <w:uiPriority w:val="99"/>
    <w:rsid w:val="00645018"/>
    <w:pPr>
      <w:spacing w:line="480" w:lineRule="auto"/>
      <w:ind w:left="1440" w:right="1440"/>
      <w:jc w:val="both"/>
    </w:pPr>
  </w:style>
  <w:style w:type="paragraph" w:customStyle="1" w:styleId="DoubleIndent1-SS">
    <w:name w:val="_DoubleIndent1-SS"/>
    <w:aliases w:val="di1ss"/>
    <w:basedOn w:val="Normal"/>
    <w:uiPriority w:val="99"/>
    <w:rsid w:val="00645018"/>
    <w:pPr>
      <w:spacing w:after="240"/>
      <w:ind w:left="1440" w:right="1440"/>
      <w:jc w:val="both"/>
    </w:pPr>
  </w:style>
  <w:style w:type="paragraph" w:customStyle="1" w:styleId="Body5">
    <w:name w:val="_Body&gt;.5"/>
    <w:aliases w:val="b&gt;.5ds"/>
    <w:basedOn w:val="Normal"/>
    <w:uiPriority w:val="99"/>
    <w:rsid w:val="00645018"/>
    <w:pPr>
      <w:spacing w:line="480" w:lineRule="auto"/>
      <w:ind w:firstLine="720"/>
      <w:jc w:val="both"/>
    </w:pPr>
  </w:style>
  <w:style w:type="paragraph" w:customStyle="1" w:styleId="Body5-SS">
    <w:name w:val="_Body&gt;.5-SS"/>
    <w:aliases w:val="b&gt;.5ss"/>
    <w:basedOn w:val="Normal"/>
    <w:uiPriority w:val="99"/>
    <w:rsid w:val="00645018"/>
    <w:pPr>
      <w:spacing w:after="240"/>
      <w:ind w:firstLine="720"/>
      <w:jc w:val="both"/>
    </w:pPr>
  </w:style>
  <w:style w:type="paragraph" w:customStyle="1" w:styleId="Date">
    <w:name w:val="_Date"/>
    <w:basedOn w:val="Normal"/>
    <w:uiPriority w:val="99"/>
    <w:rsid w:val="00645018"/>
    <w:pPr>
      <w:adjustRightInd w:val="0"/>
      <w:spacing w:before="1920" w:after="480"/>
      <w:jc w:val="center"/>
    </w:pPr>
  </w:style>
  <w:style w:type="paragraph" w:customStyle="1" w:styleId="NotaryBlock">
    <w:name w:val="_Notary Block"/>
    <w:aliases w:val="not"/>
    <w:basedOn w:val="Normal"/>
    <w:uiPriority w:val="99"/>
    <w:rsid w:val="00645018"/>
    <w:pPr>
      <w:spacing w:after="240"/>
      <w:ind w:right="5040"/>
    </w:pPr>
  </w:style>
  <w:style w:type="paragraph" w:customStyle="1" w:styleId="ReLineindent">
    <w:name w:val="_Re Line indent"/>
    <w:aliases w:val="rei"/>
    <w:basedOn w:val="Normal"/>
    <w:next w:val="Normal"/>
    <w:uiPriority w:val="99"/>
    <w:rsid w:val="00645018"/>
    <w:pPr>
      <w:spacing w:after="240"/>
      <w:ind w:left="1440" w:hanging="720"/>
    </w:pPr>
  </w:style>
  <w:style w:type="paragraph" w:customStyle="1" w:styleId="ReLinenoindentbold">
    <w:name w:val="_Re Line no indent bold"/>
    <w:aliases w:val="reb"/>
    <w:basedOn w:val="Normal"/>
    <w:uiPriority w:val="99"/>
    <w:rsid w:val="00645018"/>
    <w:pPr>
      <w:tabs>
        <w:tab w:val="left" w:pos="720"/>
      </w:tabs>
      <w:spacing w:after="240"/>
    </w:pPr>
    <w:rPr>
      <w:b/>
    </w:rPr>
  </w:style>
  <w:style w:type="paragraph" w:customStyle="1" w:styleId="RELinenoindent">
    <w:name w:val="_RE Line no indent"/>
    <w:aliases w:val="re"/>
    <w:basedOn w:val="Normal"/>
    <w:uiPriority w:val="99"/>
    <w:rsid w:val="00645018"/>
    <w:pPr>
      <w:keepNext/>
      <w:keepLines/>
      <w:tabs>
        <w:tab w:val="left" w:pos="720"/>
      </w:tabs>
      <w:ind w:left="720" w:hanging="720"/>
    </w:pPr>
  </w:style>
  <w:style w:type="paragraph" w:customStyle="1" w:styleId="Salutation">
    <w:name w:val="_Salutation"/>
    <w:basedOn w:val="Normal"/>
    <w:uiPriority w:val="99"/>
    <w:rsid w:val="00645018"/>
    <w:pPr>
      <w:adjustRightInd w:val="0"/>
      <w:spacing w:after="240"/>
    </w:pPr>
  </w:style>
  <w:style w:type="paragraph" w:customStyle="1" w:styleId="SignatureIndent3">
    <w:name w:val="_SignatureIndent3"/>
    <w:aliases w:val="sig3"/>
    <w:basedOn w:val="Normal"/>
    <w:uiPriority w:val="99"/>
    <w:rsid w:val="00645018"/>
    <w:pPr>
      <w:keepNext/>
      <w:keepLines/>
      <w:adjustRightInd w:val="0"/>
      <w:spacing w:after="240"/>
      <w:ind w:left="4320"/>
    </w:pPr>
  </w:style>
  <w:style w:type="paragraph" w:customStyle="1" w:styleId="SignatureLeft">
    <w:name w:val="_SignatureLeft"/>
    <w:aliases w:val="sig0"/>
    <w:basedOn w:val="Normal"/>
    <w:uiPriority w:val="99"/>
    <w:rsid w:val="00645018"/>
    <w:pPr>
      <w:keepNext/>
      <w:keepLines/>
      <w:spacing w:after="240"/>
    </w:pPr>
  </w:style>
  <w:style w:type="paragraph" w:customStyle="1" w:styleId="Title-SS">
    <w:name w:val="_Title-SS"/>
    <w:aliases w:val="ts"/>
    <w:basedOn w:val="Normal"/>
    <w:uiPriority w:val="99"/>
    <w:rsid w:val="00645018"/>
    <w:pPr>
      <w:keepNext/>
      <w:keepLines/>
      <w:spacing w:after="240"/>
      <w:jc w:val="center"/>
    </w:pPr>
    <w:rPr>
      <w:b/>
    </w:rPr>
  </w:style>
  <w:style w:type="paragraph" w:customStyle="1" w:styleId="TitleUnd-SS">
    <w:name w:val="_TitleUnd-SS"/>
    <w:aliases w:val="tus"/>
    <w:basedOn w:val="Normal"/>
    <w:uiPriority w:val="99"/>
    <w:rsid w:val="00645018"/>
    <w:pPr>
      <w:keepNext/>
      <w:keepLines/>
      <w:adjustRightInd w:val="0"/>
      <w:spacing w:after="240"/>
    </w:pPr>
    <w:rPr>
      <w:b/>
      <w:u w:val="single"/>
    </w:rPr>
  </w:style>
  <w:style w:type="paragraph" w:customStyle="1" w:styleId="TitleUnd-DS">
    <w:name w:val="_TitleUnd-DS"/>
    <w:aliases w:val="tud"/>
    <w:basedOn w:val="Normal"/>
    <w:uiPriority w:val="99"/>
    <w:rsid w:val="00645018"/>
    <w:pPr>
      <w:keepNext/>
      <w:keepLines/>
      <w:adjustRightInd w:val="0"/>
      <w:spacing w:line="480" w:lineRule="auto"/>
      <w:jc w:val="center"/>
    </w:pPr>
    <w:rPr>
      <w:b/>
      <w:u w:val="single"/>
    </w:rPr>
  </w:style>
  <w:style w:type="paragraph" w:customStyle="1" w:styleId="TitleCapsUnd-DS">
    <w:name w:val="_TitleCapsUnd-DS"/>
    <w:aliases w:val="tcudold"/>
    <w:basedOn w:val="Normal"/>
    <w:uiPriority w:val="99"/>
    <w:rsid w:val="00645018"/>
    <w:pPr>
      <w:keepNext/>
      <w:keepLines/>
      <w:adjustRightInd w:val="0"/>
      <w:spacing w:line="480" w:lineRule="auto"/>
      <w:jc w:val="center"/>
    </w:pPr>
    <w:rPr>
      <w:b/>
      <w:caps/>
      <w:u w:val="single"/>
    </w:rPr>
  </w:style>
  <w:style w:type="paragraph" w:customStyle="1" w:styleId="TitleCapsUnd-SS">
    <w:name w:val="_TitleCapsUnd-SS"/>
    <w:aliases w:val="tcus"/>
    <w:basedOn w:val="Normal"/>
    <w:uiPriority w:val="99"/>
    <w:rsid w:val="00645018"/>
    <w:pPr>
      <w:keepNext/>
      <w:keepLines/>
      <w:adjustRightInd w:val="0"/>
      <w:spacing w:after="240"/>
      <w:jc w:val="center"/>
    </w:pPr>
    <w:rPr>
      <w:b/>
      <w:caps/>
      <w:u w:val="single"/>
    </w:rPr>
  </w:style>
  <w:style w:type="paragraph" w:customStyle="1" w:styleId="Title-DS">
    <w:name w:val="_Title-DS"/>
    <w:aliases w:val="td"/>
    <w:basedOn w:val="Normal"/>
    <w:uiPriority w:val="99"/>
    <w:rsid w:val="00645018"/>
    <w:pPr>
      <w:keepNext/>
      <w:keepLines/>
      <w:adjustRightInd w:val="0"/>
      <w:spacing w:line="480" w:lineRule="auto"/>
      <w:jc w:val="center"/>
    </w:pPr>
    <w:rPr>
      <w:b/>
    </w:rPr>
  </w:style>
  <w:style w:type="paragraph" w:customStyle="1" w:styleId="StyleGroupHeading">
    <w:name w:val="StyleGroupHeading"/>
    <w:basedOn w:val="Normal"/>
    <w:uiPriority w:val="99"/>
    <w:rsid w:val="00645018"/>
    <w:pPr>
      <w:keepNext/>
      <w:adjustRightInd w:val="0"/>
      <w:spacing w:before="240" w:after="240"/>
      <w:jc w:val="center"/>
    </w:pPr>
    <w:rPr>
      <w:rFonts w:ascii="Arial" w:hAnsi="Arial" w:cs="Arial"/>
      <w:b/>
      <w:bCs/>
      <w:u w:val="single"/>
    </w:rPr>
  </w:style>
  <w:style w:type="paragraph" w:customStyle="1" w:styleId="BodySingle">
    <w:name w:val="_BodySingle"/>
    <w:aliases w:val="bs"/>
    <w:basedOn w:val="Normal"/>
    <w:uiPriority w:val="99"/>
    <w:rsid w:val="00645018"/>
    <w:pPr>
      <w:adjustRightInd w:val="0"/>
      <w:spacing w:after="240"/>
    </w:pPr>
  </w:style>
  <w:style w:type="paragraph" w:customStyle="1" w:styleId="StyleDescription">
    <w:name w:val="StyleDescription"/>
    <w:basedOn w:val="Normal"/>
    <w:uiPriority w:val="99"/>
    <w:rsid w:val="00645018"/>
    <w:pPr>
      <w:keepNext/>
      <w:tabs>
        <w:tab w:val="right" w:pos="8640"/>
      </w:tabs>
      <w:adjustRightInd w:val="0"/>
      <w:spacing w:after="240"/>
    </w:pPr>
    <w:rPr>
      <w:rFonts w:ascii="Arial" w:hAnsi="Arial" w:cs="Arial"/>
      <w:b/>
      <w:bCs/>
      <w:color w:val="0000FF"/>
      <w:sz w:val="20"/>
    </w:rPr>
  </w:style>
  <w:style w:type="paragraph" w:customStyle="1" w:styleId="Bullet">
    <w:name w:val="Bullet"/>
    <w:basedOn w:val="Normal"/>
    <w:uiPriority w:val="99"/>
    <w:rsid w:val="00645018"/>
    <w:pPr>
      <w:numPr>
        <w:numId w:val="1"/>
      </w:numPr>
      <w:adjustRightInd w:val="0"/>
    </w:pPr>
    <w:rPr>
      <w:rFonts w:ascii="Arial" w:hAnsi="Arial"/>
    </w:rPr>
  </w:style>
  <w:style w:type="paragraph" w:customStyle="1" w:styleId="StyleName">
    <w:name w:val="StyleName"/>
    <w:basedOn w:val="Normal"/>
    <w:uiPriority w:val="99"/>
    <w:rsid w:val="00645018"/>
    <w:pPr>
      <w:keepNext/>
      <w:adjustRightInd w:val="0"/>
      <w:spacing w:before="240"/>
    </w:pPr>
    <w:rPr>
      <w:rFonts w:ascii="Arial" w:hAnsi="Arial"/>
      <w:b/>
      <w:bCs/>
      <w:color w:val="0000FF"/>
      <w:szCs w:val="20"/>
    </w:rPr>
  </w:style>
  <w:style w:type="paragraph" w:customStyle="1" w:styleId="BodyDouble">
    <w:name w:val="_BodyDouble"/>
    <w:aliases w:val="bd"/>
    <w:basedOn w:val="Normal"/>
    <w:uiPriority w:val="99"/>
    <w:rsid w:val="00645018"/>
    <w:pPr>
      <w:adjustRightInd w:val="0"/>
      <w:spacing w:line="480" w:lineRule="auto"/>
    </w:pPr>
  </w:style>
  <w:style w:type="paragraph" w:styleId="BalloonText">
    <w:name w:val="Balloon Text"/>
    <w:basedOn w:val="Normal"/>
    <w:link w:val="BalloonTextChar"/>
    <w:uiPriority w:val="99"/>
    <w:semiHidden/>
    <w:unhideWhenUsed/>
    <w:rsid w:val="0064501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45018"/>
    <w:rPr>
      <w:rFonts w:ascii="Tahoma" w:hAnsi="Tahoma" w:cs="Tahoma"/>
      <w:sz w:val="16"/>
      <w:szCs w:val="16"/>
    </w:rPr>
  </w:style>
  <w:style w:type="paragraph" w:styleId="Header">
    <w:name w:val="header"/>
    <w:basedOn w:val="Normal"/>
    <w:link w:val="HeaderChar"/>
    <w:uiPriority w:val="99"/>
    <w:unhideWhenUsed/>
    <w:rsid w:val="00B567E2"/>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B567E2"/>
  </w:style>
  <w:style w:type="paragraph" w:styleId="Footer">
    <w:name w:val="footer"/>
    <w:basedOn w:val="Normal"/>
    <w:link w:val="FooterChar"/>
    <w:uiPriority w:val="99"/>
    <w:unhideWhenUsed/>
    <w:rsid w:val="00B567E2"/>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B567E2"/>
  </w:style>
  <w:style w:type="character" w:styleId="Hyperlink">
    <w:name w:val="Hyperlink"/>
    <w:rsid w:val="00451743"/>
    <w:rPr>
      <w:strike w:val="0"/>
      <w:dstrike w:val="0"/>
      <w:color w:val="83383F"/>
      <w:u w:val="none"/>
      <w:effect w:val="none"/>
    </w:rPr>
  </w:style>
  <w:style w:type="paragraph" w:customStyle="1" w:styleId="Default">
    <w:name w:val="Default"/>
    <w:rsid w:val="00451743"/>
    <w:pPr>
      <w:widowControl w:val="0"/>
      <w:autoSpaceDE w:val="0"/>
      <w:autoSpaceDN w:val="0"/>
      <w:adjustRightInd w:val="0"/>
    </w:pPr>
    <w:rPr>
      <w:rFonts w:ascii="Arial" w:eastAsia="Times New Roman" w:hAnsi="Arial" w:cs="Arial"/>
      <w:color w:val="000000"/>
    </w:rPr>
  </w:style>
  <w:style w:type="paragraph" w:styleId="NormalWeb">
    <w:name w:val="Normal (Web)"/>
    <w:basedOn w:val="Normal"/>
    <w:uiPriority w:val="99"/>
    <w:unhideWhenUsed/>
    <w:rsid w:val="006A7C57"/>
  </w:style>
  <w:style w:type="character" w:styleId="CommentReference">
    <w:name w:val="annotation reference"/>
    <w:basedOn w:val="DefaultParagraphFont"/>
    <w:uiPriority w:val="99"/>
    <w:semiHidden/>
    <w:unhideWhenUsed/>
    <w:rsid w:val="006A7C57"/>
    <w:rPr>
      <w:sz w:val="16"/>
      <w:szCs w:val="16"/>
    </w:rPr>
  </w:style>
  <w:style w:type="paragraph" w:styleId="CommentText">
    <w:name w:val="annotation text"/>
    <w:basedOn w:val="Normal"/>
    <w:link w:val="CommentTextChar"/>
    <w:uiPriority w:val="99"/>
    <w:semiHidden/>
    <w:unhideWhenUsed/>
    <w:rsid w:val="006A7C57"/>
    <w:rPr>
      <w:sz w:val="20"/>
      <w:szCs w:val="20"/>
    </w:rPr>
  </w:style>
  <w:style w:type="character" w:customStyle="1" w:styleId="CommentTextChar">
    <w:name w:val="Comment Text Char"/>
    <w:basedOn w:val="DefaultParagraphFont"/>
    <w:link w:val="CommentText"/>
    <w:uiPriority w:val="99"/>
    <w:semiHidden/>
    <w:rsid w:val="006A7C5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7C57"/>
    <w:rPr>
      <w:b/>
      <w:bCs/>
    </w:rPr>
  </w:style>
  <w:style w:type="character" w:customStyle="1" w:styleId="CommentSubjectChar">
    <w:name w:val="Comment Subject Char"/>
    <w:basedOn w:val="CommentTextChar"/>
    <w:link w:val="CommentSubject"/>
    <w:uiPriority w:val="99"/>
    <w:semiHidden/>
    <w:rsid w:val="006A7C57"/>
    <w:rPr>
      <w:rFonts w:eastAsia="Times New Roman" w:cs="Times New Roman"/>
      <w:b/>
      <w:bCs/>
      <w:sz w:val="20"/>
      <w:szCs w:val="20"/>
    </w:rPr>
  </w:style>
  <w:style w:type="paragraph" w:styleId="FootnoteText">
    <w:name w:val="footnote text"/>
    <w:basedOn w:val="Normal"/>
    <w:link w:val="FootnoteTextChar"/>
    <w:uiPriority w:val="99"/>
    <w:semiHidden/>
    <w:unhideWhenUsed/>
    <w:rsid w:val="00BB307B"/>
    <w:rPr>
      <w:rFonts w:asciiTheme="majorHAnsi" w:eastAsiaTheme="minorHAnsi" w:hAnsiTheme="majorHAnsi" w:cstheme="minorBidi"/>
      <w:sz w:val="20"/>
      <w:szCs w:val="20"/>
    </w:rPr>
  </w:style>
  <w:style w:type="character" w:customStyle="1" w:styleId="FootnoteTextChar">
    <w:name w:val="Footnote Text Char"/>
    <w:basedOn w:val="DefaultParagraphFont"/>
    <w:link w:val="FootnoteText"/>
    <w:uiPriority w:val="99"/>
    <w:semiHidden/>
    <w:rsid w:val="00BB307B"/>
    <w:rPr>
      <w:rFonts w:asciiTheme="majorHAnsi" w:hAnsiTheme="majorHAnsi"/>
      <w:sz w:val="20"/>
      <w:szCs w:val="20"/>
    </w:rPr>
  </w:style>
  <w:style w:type="character" w:styleId="FootnoteReference">
    <w:name w:val="footnote reference"/>
    <w:basedOn w:val="DefaultParagraphFont"/>
    <w:uiPriority w:val="99"/>
    <w:semiHidden/>
    <w:unhideWhenUsed/>
    <w:rsid w:val="00BB307B"/>
    <w:rPr>
      <w:vertAlign w:val="superscript"/>
    </w:rPr>
  </w:style>
  <w:style w:type="paragraph" w:styleId="EndnoteText">
    <w:name w:val="endnote text"/>
    <w:basedOn w:val="Normal"/>
    <w:link w:val="EndnoteTextChar"/>
    <w:uiPriority w:val="99"/>
    <w:semiHidden/>
    <w:unhideWhenUsed/>
    <w:rsid w:val="006814DA"/>
    <w:rPr>
      <w:sz w:val="20"/>
      <w:szCs w:val="20"/>
    </w:rPr>
  </w:style>
  <w:style w:type="character" w:customStyle="1" w:styleId="EndnoteTextChar">
    <w:name w:val="Endnote Text Char"/>
    <w:basedOn w:val="DefaultParagraphFont"/>
    <w:link w:val="EndnoteText"/>
    <w:uiPriority w:val="99"/>
    <w:semiHidden/>
    <w:rsid w:val="006814DA"/>
    <w:rPr>
      <w:rFonts w:eastAsia="Times New Roman" w:cs="Times New Roman"/>
      <w:sz w:val="20"/>
      <w:szCs w:val="20"/>
    </w:rPr>
  </w:style>
  <w:style w:type="character" w:styleId="EndnoteReference">
    <w:name w:val="endnote reference"/>
    <w:basedOn w:val="DefaultParagraphFont"/>
    <w:uiPriority w:val="99"/>
    <w:semiHidden/>
    <w:unhideWhenUsed/>
    <w:rsid w:val="006814DA"/>
    <w:rPr>
      <w:vertAlign w:val="superscript"/>
    </w:rPr>
  </w:style>
  <w:style w:type="table" w:styleId="TableGrid">
    <w:name w:val="Table Grid"/>
    <w:basedOn w:val="TableNormal"/>
    <w:uiPriority w:val="59"/>
    <w:rsid w:val="00FB0E86"/>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B7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www.bannerwitcoff.com/" TargetMode="External"/><Relationship Id="rId4" Type="http://schemas.openxmlformats.org/officeDocument/2006/relationships/webSettings" Target="webSettings.xml"/><Relationship Id="rId9" Type="http://schemas.openxmlformats.org/officeDocument/2006/relationships/hyperlink" Target="mailto:chummel@bannerwitcoff.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Robert</dc:creator>
  <cp:lastModifiedBy>Elyse Braner</cp:lastModifiedBy>
  <cp:revision>2</cp:revision>
  <cp:lastPrinted>2019-02-02T16:49:00Z</cp:lastPrinted>
  <dcterms:created xsi:type="dcterms:W3CDTF">2019-02-07T19:53:00Z</dcterms:created>
  <dcterms:modified xsi:type="dcterms:W3CDTF">2019-02-07T19:53:00Z</dcterms:modified>
</cp:coreProperties>
</file>