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C7" w:rsidRDefault="00636351" w:rsidP="002604AB">
      <w:r>
        <w:rPr>
          <w:noProof/>
        </w:rPr>
        <w:drawing>
          <wp:anchor distT="0" distB="0" distL="114300" distR="114300" simplePos="0" relativeHeight="251660288" behindDoc="0" locked="0" layoutInCell="1" allowOverlap="1">
            <wp:simplePos x="0" y="0"/>
            <wp:positionH relativeFrom="column">
              <wp:posOffset>1224569</wp:posOffset>
            </wp:positionH>
            <wp:positionV relativeFrom="paragraph">
              <wp:posOffset>-173355</wp:posOffset>
            </wp:positionV>
            <wp:extent cx="3520440" cy="6324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 r="386"/>
                    <a:stretch/>
                  </pic:blipFill>
                  <pic:spPr bwMode="auto">
                    <a:xfrm>
                      <a:off x="0" y="0"/>
                      <a:ext cx="3520440" cy="632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6351" w:rsidRDefault="00636351" w:rsidP="00636351">
      <w:pPr>
        <w:jc w:val="center"/>
      </w:pPr>
    </w:p>
    <w:p w:rsidR="002604AB" w:rsidRDefault="002604AB" w:rsidP="00636351">
      <w:pPr>
        <w:jc w:val="center"/>
        <w:rPr>
          <w:rFonts w:ascii="Arial" w:hAnsi="Arial" w:cs="Arial"/>
          <w:color w:val="002060"/>
          <w:sz w:val="40"/>
          <w:szCs w:val="40"/>
        </w:rPr>
      </w:pPr>
    </w:p>
    <w:p w:rsidR="00636351" w:rsidRPr="00E4709A" w:rsidRDefault="00636351" w:rsidP="00636351">
      <w:pPr>
        <w:jc w:val="center"/>
        <w:rPr>
          <w:rFonts w:ascii="Arial" w:hAnsi="Arial" w:cs="Arial"/>
          <w:color w:val="002060"/>
          <w:sz w:val="40"/>
          <w:szCs w:val="40"/>
        </w:rPr>
      </w:pPr>
      <w:r w:rsidRPr="00E4709A">
        <w:rPr>
          <w:rFonts w:ascii="Arial" w:hAnsi="Arial" w:cs="Arial"/>
          <w:color w:val="002060"/>
          <w:sz w:val="40"/>
          <w:szCs w:val="40"/>
        </w:rPr>
        <w:t>Intellectual Property Alert:</w:t>
      </w:r>
    </w:p>
    <w:p w:rsidR="00636351" w:rsidRPr="006A3DAA" w:rsidRDefault="00E4709A" w:rsidP="00636351">
      <w:pPr>
        <w:jc w:val="center"/>
        <w:rPr>
          <w:rFonts w:ascii="Arial" w:hAnsi="Arial" w:cs="Arial"/>
          <w:color w:val="002060"/>
          <w:sz w:val="28"/>
          <w:szCs w:val="28"/>
        </w:rPr>
      </w:pPr>
      <w:r w:rsidRPr="006A3DAA">
        <w:rPr>
          <w:rFonts w:ascii="Arial" w:hAnsi="Arial" w:cs="Arial"/>
          <w:i/>
          <w:color w:val="002060"/>
          <w:sz w:val="28"/>
          <w:szCs w:val="28"/>
        </w:rPr>
        <w:t>Medtronic v. Boston Scientific</w:t>
      </w:r>
      <w:r w:rsidRPr="006A3DAA">
        <w:rPr>
          <w:rFonts w:ascii="Arial" w:hAnsi="Arial" w:cs="Arial"/>
          <w:color w:val="002060"/>
          <w:sz w:val="28"/>
          <w:szCs w:val="28"/>
        </w:rPr>
        <w:t xml:space="preserve"> - </w:t>
      </w:r>
      <w:r w:rsidR="00636351" w:rsidRPr="006A3DAA">
        <w:rPr>
          <w:rFonts w:ascii="Arial" w:hAnsi="Arial" w:cs="Arial"/>
          <w:color w:val="002060"/>
          <w:sz w:val="28"/>
          <w:szCs w:val="28"/>
        </w:rPr>
        <w:t xml:space="preserve">Supreme Court </w:t>
      </w:r>
      <w:r w:rsidR="008F7460" w:rsidRPr="006A3DAA">
        <w:rPr>
          <w:rFonts w:ascii="Arial" w:hAnsi="Arial" w:cs="Arial"/>
          <w:color w:val="002060"/>
          <w:sz w:val="28"/>
          <w:szCs w:val="28"/>
        </w:rPr>
        <w:t>Appears Prepared to Reverse</w:t>
      </w:r>
      <w:r w:rsidRPr="006A3DAA">
        <w:rPr>
          <w:rFonts w:ascii="Arial" w:hAnsi="Arial" w:cs="Arial"/>
          <w:color w:val="002060"/>
          <w:sz w:val="28"/>
          <w:szCs w:val="28"/>
        </w:rPr>
        <w:t xml:space="preserve"> the</w:t>
      </w:r>
      <w:r w:rsidR="00636351" w:rsidRPr="006A3DAA">
        <w:rPr>
          <w:rFonts w:ascii="Arial" w:hAnsi="Arial" w:cs="Arial"/>
          <w:color w:val="002060"/>
          <w:sz w:val="28"/>
          <w:szCs w:val="28"/>
        </w:rPr>
        <w:t xml:space="preserve"> </w:t>
      </w:r>
      <w:r w:rsidR="008F7460" w:rsidRPr="006A3DAA">
        <w:rPr>
          <w:rFonts w:ascii="Arial" w:hAnsi="Arial" w:cs="Arial"/>
          <w:color w:val="002060"/>
          <w:sz w:val="28"/>
          <w:szCs w:val="28"/>
        </w:rPr>
        <w:t xml:space="preserve">Federal Circuit and Require </w:t>
      </w:r>
      <w:r w:rsidR="009F2874" w:rsidRPr="006A3DAA">
        <w:rPr>
          <w:rFonts w:ascii="Arial" w:hAnsi="Arial" w:cs="Arial"/>
          <w:color w:val="002060"/>
          <w:sz w:val="28"/>
          <w:szCs w:val="28"/>
        </w:rPr>
        <w:t>Patent Owners</w:t>
      </w:r>
      <w:r w:rsidR="008F7460" w:rsidRPr="006A3DAA">
        <w:rPr>
          <w:rFonts w:ascii="Arial" w:hAnsi="Arial" w:cs="Arial"/>
          <w:color w:val="002060"/>
          <w:sz w:val="28"/>
          <w:szCs w:val="28"/>
        </w:rPr>
        <w:t xml:space="preserve">, Not Licensees, to Bear the </w:t>
      </w:r>
      <w:r w:rsidR="00636351" w:rsidRPr="006A3DAA">
        <w:rPr>
          <w:rFonts w:ascii="Arial" w:hAnsi="Arial" w:cs="Arial"/>
          <w:color w:val="002060"/>
          <w:sz w:val="28"/>
          <w:szCs w:val="28"/>
        </w:rPr>
        <w:t xml:space="preserve">Burden of </w:t>
      </w:r>
      <w:r w:rsidR="008F7460" w:rsidRPr="006A3DAA">
        <w:rPr>
          <w:rFonts w:ascii="Arial" w:hAnsi="Arial" w:cs="Arial"/>
          <w:color w:val="002060"/>
          <w:sz w:val="28"/>
          <w:szCs w:val="28"/>
        </w:rPr>
        <w:t>Persuasion</w:t>
      </w:r>
      <w:r w:rsidR="00636351" w:rsidRPr="006A3DAA">
        <w:rPr>
          <w:rFonts w:ascii="Arial" w:hAnsi="Arial" w:cs="Arial"/>
          <w:color w:val="002060"/>
          <w:sz w:val="28"/>
          <w:szCs w:val="28"/>
        </w:rPr>
        <w:t xml:space="preserve"> in </w:t>
      </w:r>
      <w:r w:rsidRPr="006A3DAA">
        <w:rPr>
          <w:rFonts w:ascii="Arial" w:hAnsi="Arial" w:cs="Arial"/>
          <w:color w:val="002060"/>
          <w:sz w:val="28"/>
          <w:szCs w:val="28"/>
        </w:rPr>
        <w:t>Declaratory Judgment Actions</w:t>
      </w:r>
    </w:p>
    <w:p w:rsidR="00176414" w:rsidRDefault="00176414" w:rsidP="00636351">
      <w:pPr>
        <w:jc w:val="center"/>
      </w:pPr>
    </w:p>
    <w:p w:rsidR="00176414" w:rsidRDefault="00176414" w:rsidP="00636351">
      <w:pPr>
        <w:jc w:val="center"/>
      </w:pPr>
      <w:r>
        <w:t xml:space="preserve">By </w:t>
      </w:r>
      <w:hyperlink r:id="rId9" w:history="1">
        <w:r w:rsidRPr="006A3DAA">
          <w:rPr>
            <w:rStyle w:val="Hyperlink"/>
          </w:rPr>
          <w:t>Aaron P. Bowling</w:t>
        </w:r>
      </w:hyperlink>
    </w:p>
    <w:p w:rsidR="00176414" w:rsidRDefault="00176414" w:rsidP="00636351">
      <w:pPr>
        <w:jc w:val="center"/>
      </w:pPr>
    </w:p>
    <w:p w:rsidR="005F728A" w:rsidRDefault="007D108A" w:rsidP="00176414">
      <w:r>
        <w:t>November 6</w:t>
      </w:r>
      <w:bookmarkStart w:id="0" w:name="_GoBack"/>
      <w:bookmarkEnd w:id="0"/>
      <w:r w:rsidR="00176414">
        <w:t>, 2013 –</w:t>
      </w:r>
      <w:r w:rsidR="00AA354B">
        <w:t xml:space="preserve"> On </w:t>
      </w:r>
      <w:r w:rsidR="002604AB">
        <w:t xml:space="preserve">late </w:t>
      </w:r>
      <w:r w:rsidR="00AA354B">
        <w:t>T</w:t>
      </w:r>
      <w:r w:rsidR="00176414">
        <w:t xml:space="preserve">uesday morning, the Supreme Court heard oral arguments in </w:t>
      </w:r>
      <w:r w:rsidR="00176414">
        <w:rPr>
          <w:i/>
        </w:rPr>
        <w:t>Medtronic v. Boston Scientific</w:t>
      </w:r>
      <w:r w:rsidR="00A52155">
        <w:t xml:space="preserve"> </w:t>
      </w:r>
      <w:r w:rsidR="00AA354B">
        <w:t>to determine whether</w:t>
      </w:r>
      <w:r w:rsidR="00E4709A">
        <w:t xml:space="preserve">, in a declaratory judgment action brought by </w:t>
      </w:r>
      <w:r w:rsidR="00AA354B">
        <w:t>a patent licensee</w:t>
      </w:r>
      <w:r w:rsidR="008F7460">
        <w:t>,</w:t>
      </w:r>
      <w:r w:rsidR="00E4709A">
        <w:t xml:space="preserve"> </w:t>
      </w:r>
      <w:r w:rsidR="00AA354B">
        <w:t xml:space="preserve">the </w:t>
      </w:r>
      <w:r w:rsidR="009F2874">
        <w:t>patent owner</w:t>
      </w:r>
      <w:r w:rsidR="00AA354B">
        <w:t xml:space="preserve"> </w:t>
      </w:r>
      <w:r w:rsidR="008F7460">
        <w:t>bears</w:t>
      </w:r>
      <w:r w:rsidR="00AA354B">
        <w:t xml:space="preserve"> the burden to prove infringement (as is the case in all other patent litigation), or </w:t>
      </w:r>
      <w:r w:rsidR="008F7460">
        <w:t>whether instead</w:t>
      </w:r>
      <w:r w:rsidR="00AA354B">
        <w:t xml:space="preserve"> the licensee </w:t>
      </w:r>
      <w:r w:rsidR="008F7460">
        <w:t>bears</w:t>
      </w:r>
      <w:r w:rsidR="00AA354B">
        <w:t xml:space="preserve"> the burden to prove that its produ</w:t>
      </w:r>
      <w:r w:rsidR="008F7460">
        <w:t>cts do not infringe the licensed patent.</w:t>
      </w:r>
      <w:r w:rsidR="00BA562E">
        <w:t xml:space="preserve"> </w:t>
      </w:r>
    </w:p>
    <w:p w:rsidR="00596648" w:rsidRPr="002604AB" w:rsidRDefault="00596648" w:rsidP="00176414">
      <w:pPr>
        <w:rPr>
          <w:sz w:val="12"/>
          <w:szCs w:val="12"/>
        </w:rPr>
      </w:pPr>
    </w:p>
    <w:p w:rsidR="00596648" w:rsidRPr="006A3DAA" w:rsidRDefault="00596648" w:rsidP="006A3DAA">
      <w:pPr>
        <w:rPr>
          <w:b/>
          <w:u w:val="single"/>
        </w:rPr>
      </w:pPr>
      <w:r w:rsidRPr="006A3DAA">
        <w:rPr>
          <w:b/>
          <w:u w:val="single"/>
        </w:rPr>
        <w:t>Declaratory Judgment in the Patent Licensing Context</w:t>
      </w:r>
      <w:r w:rsidR="009C32D3" w:rsidRPr="006A3DAA">
        <w:rPr>
          <w:b/>
          <w:u w:val="single"/>
        </w:rPr>
        <w:t xml:space="preserve"> of </w:t>
      </w:r>
      <w:r w:rsidR="009C32D3" w:rsidRPr="006A3DAA">
        <w:rPr>
          <w:b/>
          <w:i/>
          <w:u w:val="single"/>
        </w:rPr>
        <w:t>MedImmune</w:t>
      </w:r>
    </w:p>
    <w:p w:rsidR="005F728A" w:rsidRDefault="005F728A" w:rsidP="00176414"/>
    <w:p w:rsidR="006C7A3C" w:rsidRDefault="00BA562E" w:rsidP="00E72B8B">
      <w:r>
        <w:t>The Declaratory Judgment Act</w:t>
      </w:r>
      <w:r w:rsidR="004621BA">
        <w:t xml:space="preserve"> (DJA</w:t>
      </w:r>
      <w:r w:rsidR="00C45402">
        <w:t>)</w:t>
      </w:r>
      <w:r>
        <w:t xml:space="preserve"> permits federal courts to “declare the rights and other legal relations” of parties </w:t>
      </w:r>
      <w:r w:rsidR="005F728A">
        <w:t>where</w:t>
      </w:r>
      <w:r>
        <w:t xml:space="preserve"> “a substantial contr</w:t>
      </w:r>
      <w:r w:rsidR="00BC0E44">
        <w:t>oversy [exists]</w:t>
      </w:r>
      <w:r>
        <w:t xml:space="preserve"> between parties having adverse legal interests, of </w:t>
      </w:r>
      <w:r w:rsidRPr="00B103E5">
        <w:t>sufficient</w:t>
      </w:r>
      <w:r>
        <w:t xml:space="preserve"> immediacy and reality.</w:t>
      </w:r>
      <w:r w:rsidR="004621BA">
        <w:t xml:space="preserve">” </w:t>
      </w:r>
      <w:r w:rsidR="00FE1774">
        <w:rPr>
          <w:i/>
        </w:rPr>
        <w:t>Maryland Cas. Co. v. Pac.</w:t>
      </w:r>
      <w:r>
        <w:rPr>
          <w:i/>
        </w:rPr>
        <w:t xml:space="preserve"> Coal &amp; Oil Co.</w:t>
      </w:r>
      <w:r>
        <w:t>, 312 U.S. 270, 273 (1941</w:t>
      </w:r>
      <w:r w:rsidR="004621BA">
        <w:t xml:space="preserve">). </w:t>
      </w:r>
      <w:r w:rsidR="00D05BBE">
        <w:t xml:space="preserve">In the </w:t>
      </w:r>
      <w:r w:rsidR="00BC0E44">
        <w:t xml:space="preserve">typical </w:t>
      </w:r>
      <w:r w:rsidR="00D05BBE">
        <w:t xml:space="preserve">patent </w:t>
      </w:r>
      <w:r w:rsidR="00BC0E44">
        <w:t xml:space="preserve">infringement </w:t>
      </w:r>
      <w:r w:rsidR="00D05BBE">
        <w:t xml:space="preserve">context, the </w:t>
      </w:r>
      <w:r w:rsidR="00C45402">
        <w:t>DJA</w:t>
      </w:r>
      <w:r w:rsidR="006C7A3C">
        <w:t xml:space="preserve"> allows a potential infringer to ascertain </w:t>
      </w:r>
      <w:r w:rsidR="00BC0E44">
        <w:t xml:space="preserve">the scope of a </w:t>
      </w:r>
      <w:r w:rsidR="009F2874">
        <w:t>patent owner’s</w:t>
      </w:r>
      <w:r w:rsidR="009333E8">
        <w:t xml:space="preserve"> right to exclude</w:t>
      </w:r>
      <w:r w:rsidR="00B27498">
        <w:t xml:space="preserve"> prior to the occurrence of any substantial injury,</w:t>
      </w:r>
      <w:r w:rsidR="00BC0E44">
        <w:t xml:space="preserve"> </w:t>
      </w:r>
      <w:r w:rsidR="009F2874">
        <w:t>and</w:t>
      </w:r>
      <w:r w:rsidR="00B27498">
        <w:t xml:space="preserve"> thus</w:t>
      </w:r>
      <w:r w:rsidR="008F7460">
        <w:t xml:space="preserve"> avoid the</w:t>
      </w:r>
      <w:r w:rsidR="00BC0E44">
        <w:t xml:space="preserve"> risk of liability </w:t>
      </w:r>
      <w:r w:rsidR="008F7460">
        <w:t>in</w:t>
      </w:r>
      <w:r w:rsidR="00BC0E44">
        <w:t xml:space="preserve"> proceeding with p</w:t>
      </w:r>
      <w:r w:rsidR="004621BA">
        <w:t xml:space="preserve">otentially infringing conduct. </w:t>
      </w:r>
      <w:r w:rsidR="008F7460">
        <w:t>If</w:t>
      </w:r>
      <w:r w:rsidR="009333E8">
        <w:t>,</w:t>
      </w:r>
      <w:r w:rsidR="00BC0E44">
        <w:t xml:space="preserve"> however, the patentee and potential infringer are parties to a license agreement,</w:t>
      </w:r>
      <w:r w:rsidR="008F7460">
        <w:t xml:space="preserve"> </w:t>
      </w:r>
      <w:r w:rsidR="009333E8">
        <w:t>that</w:t>
      </w:r>
      <w:r w:rsidR="00BC0E44">
        <w:t xml:space="preserve"> license eliminates any risk that the</w:t>
      </w:r>
      <w:r w:rsidR="008F7460">
        <w:t xml:space="preserve"> </w:t>
      </w:r>
      <w:r w:rsidR="009F2874">
        <w:t>patent owner</w:t>
      </w:r>
      <w:r w:rsidR="008F7460">
        <w:t xml:space="preserve"> will sue</w:t>
      </w:r>
      <w:r w:rsidR="00370A86">
        <w:t xml:space="preserve"> the licensee</w:t>
      </w:r>
      <w:r w:rsidR="008F7460">
        <w:t xml:space="preserve"> </w:t>
      </w:r>
      <w:r w:rsidR="00BC0E44">
        <w:t>for infringement</w:t>
      </w:r>
      <w:r w:rsidR="00931957">
        <w:t xml:space="preserve">, </w:t>
      </w:r>
      <w:r w:rsidR="009333E8">
        <w:t>and consequently alters</w:t>
      </w:r>
      <w:r w:rsidR="00931957">
        <w:t xml:space="preserve"> the parties’ risks</w:t>
      </w:r>
      <w:r w:rsidR="009333E8">
        <w:t xml:space="preserve"> </w:t>
      </w:r>
      <w:r w:rsidR="00931957">
        <w:t>and the existing controversy.</w:t>
      </w:r>
    </w:p>
    <w:p w:rsidR="00F87756" w:rsidRDefault="00F87756" w:rsidP="00E72B8B"/>
    <w:p w:rsidR="007D1E6E" w:rsidRDefault="00BC0E44" w:rsidP="00282D28">
      <w:r>
        <w:t xml:space="preserve">In </w:t>
      </w:r>
      <w:r>
        <w:rPr>
          <w:i/>
        </w:rPr>
        <w:t>MedImmune, Inc. v. Genentech, Inc.</w:t>
      </w:r>
      <w:r>
        <w:t>, 549 U.S. 118, 129-134 (2007),</w:t>
      </w:r>
      <w:r w:rsidRPr="00BC0E44">
        <w:t xml:space="preserve"> </w:t>
      </w:r>
      <w:r>
        <w:t>the Supreme Court held that patent licensees in such circumstances may nonetheless seek declaratory judgment that the licensed patent is invalid</w:t>
      </w:r>
      <w:r w:rsidR="00931957">
        <w:t xml:space="preserve"> </w:t>
      </w:r>
      <w:r>
        <w:t>or not infring</w:t>
      </w:r>
      <w:r w:rsidR="004621BA">
        <w:t xml:space="preserve">ed by the licensee’s products. </w:t>
      </w:r>
      <w:r w:rsidR="007D1E6E">
        <w:t>The</w:t>
      </w:r>
      <w:r>
        <w:t xml:space="preserve"> Court reasoned that </w:t>
      </w:r>
      <w:r w:rsidR="007A5B4D">
        <w:t>licensees</w:t>
      </w:r>
      <w:r w:rsidR="005F728A">
        <w:t xml:space="preserve"> face a </w:t>
      </w:r>
      <w:r w:rsidR="007A5B4D">
        <w:t>sufficient</w:t>
      </w:r>
      <w:r w:rsidR="005F728A">
        <w:t xml:space="preserve"> threat of liability sh</w:t>
      </w:r>
      <w:r w:rsidR="007D1E6E">
        <w:t xml:space="preserve">ould they stop paying the coerced royalties, and </w:t>
      </w:r>
      <w:r w:rsidR="00FC03D0">
        <w:t>therefore</w:t>
      </w:r>
      <w:r w:rsidR="007D1E6E">
        <w:t xml:space="preserve"> may utilize </w:t>
      </w:r>
      <w:r w:rsidR="00931957">
        <w:t>DJA actions</w:t>
      </w:r>
      <w:r w:rsidR="007D1E6E">
        <w:t xml:space="preserve"> to resolve the parties’ disputed legal rig</w:t>
      </w:r>
      <w:r w:rsidR="004621BA">
        <w:t xml:space="preserve">hts without risking liability. </w:t>
      </w:r>
      <w:r w:rsidR="004152FC">
        <w:t xml:space="preserve">In the wake of </w:t>
      </w:r>
      <w:r w:rsidR="004152FC">
        <w:rPr>
          <w:i/>
        </w:rPr>
        <w:t>MedImmune</w:t>
      </w:r>
      <w:r w:rsidR="004152FC">
        <w:t>, the</w:t>
      </w:r>
      <w:r w:rsidR="00282D28">
        <w:t xml:space="preserve"> </w:t>
      </w:r>
      <w:r w:rsidR="004152FC">
        <w:t xml:space="preserve">question naturally followed: </w:t>
      </w:r>
      <w:r w:rsidR="004621BA">
        <w:t>i</w:t>
      </w:r>
      <w:r w:rsidR="007D1E6E">
        <w:t xml:space="preserve">n these situations, </w:t>
      </w:r>
      <w:r w:rsidR="00282D28">
        <w:t>who has the burden</w:t>
      </w:r>
      <w:r w:rsidR="007D1E6E">
        <w:t xml:space="preserve"> to demonstrate whether the patent covers the product(s) in question</w:t>
      </w:r>
      <w:r w:rsidR="00282D28">
        <w:t xml:space="preserve">? </w:t>
      </w:r>
    </w:p>
    <w:p w:rsidR="007D1E6E" w:rsidRDefault="007D1E6E" w:rsidP="00282D28"/>
    <w:p w:rsidR="007D1E6E" w:rsidRDefault="00931957" w:rsidP="00282D28">
      <w:r>
        <w:t>Typically</w:t>
      </w:r>
      <w:r w:rsidR="007D1E6E">
        <w:t>, a patentee alleging infringement</w:t>
      </w:r>
      <w:r w:rsidR="001E3CAE">
        <w:t xml:space="preserve"> </w:t>
      </w:r>
      <w:r w:rsidR="004621BA">
        <w:t>bears the burden of persuasion.</w:t>
      </w:r>
      <w:r w:rsidR="001E3CAE">
        <w:t xml:space="preserve"> In</w:t>
      </w:r>
      <w:r w:rsidR="007D1E6E">
        <w:t xml:space="preserve"> DJA actions, courts </w:t>
      </w:r>
      <w:r w:rsidR="001E3CAE">
        <w:t xml:space="preserve">create a hypothetical coercive action that corresponds to the </w:t>
      </w:r>
      <w:r>
        <w:t>DJA action;</w:t>
      </w:r>
      <w:r w:rsidR="001E3CAE">
        <w:t xml:space="preserve"> and place the burdens according to that </w:t>
      </w:r>
      <w:r w:rsidR="009F2874">
        <w:t xml:space="preserve">hypothetical </w:t>
      </w:r>
      <w:r w:rsidR="004621BA">
        <w:t xml:space="preserve">action. </w:t>
      </w:r>
      <w:r w:rsidR="00FC03D0">
        <w:t>Thus</w:t>
      </w:r>
      <w:r w:rsidR="001E3CAE">
        <w:t xml:space="preserve">, if a potential infringer seeks declaratory relief of non-infringement, </w:t>
      </w:r>
      <w:r>
        <w:t>the burden or persuasion falls on the declaratory-defendant patentee who would</w:t>
      </w:r>
      <w:r w:rsidR="001E3CAE">
        <w:t xml:space="preserve"> </w:t>
      </w:r>
      <w:r>
        <w:t>normally bear that burden in a</w:t>
      </w:r>
      <w:r w:rsidR="001E3CAE">
        <w:t xml:space="preserve"> corresponding </w:t>
      </w:r>
      <w:r w:rsidR="004621BA">
        <w:t xml:space="preserve">infringement action. </w:t>
      </w:r>
      <w:r w:rsidR="007D1E6E">
        <w:t>Yet,</w:t>
      </w:r>
      <w:r w:rsidR="009F2874">
        <w:t xml:space="preserve"> when the current </w:t>
      </w:r>
      <w:r w:rsidR="009F2874">
        <w:rPr>
          <w:i/>
        </w:rPr>
        <w:t xml:space="preserve">Medtronic v. Boston Scientific </w:t>
      </w:r>
      <w:r w:rsidR="009F2874">
        <w:t>action reached the Federal Circuit, a three-jud</w:t>
      </w:r>
      <w:r w:rsidR="004621BA">
        <w:t>ge panel of Judges Lourie, Linn</w:t>
      </w:r>
      <w:r w:rsidR="009F2874">
        <w:t xml:space="preserve"> and Prost</w:t>
      </w:r>
      <w:r w:rsidR="007D1E6E">
        <w:t xml:space="preserve"> </w:t>
      </w:r>
      <w:r w:rsidR="00FC03D0">
        <w:t>carved out an exception, holding</w:t>
      </w:r>
      <w:r w:rsidR="007D1E6E">
        <w:t xml:space="preserve"> that </w:t>
      </w:r>
      <w:r w:rsidR="00FC03D0">
        <w:t>a</w:t>
      </w:r>
      <w:r w:rsidR="007D1E6E">
        <w:t xml:space="preserve"> </w:t>
      </w:r>
      <w:r w:rsidR="007D1E6E" w:rsidRPr="00FC03D0">
        <w:rPr>
          <w:i/>
        </w:rPr>
        <w:t>licensee</w:t>
      </w:r>
      <w:r>
        <w:t xml:space="preserve"> seeking to show non</w:t>
      </w:r>
      <w:r w:rsidR="002604AB">
        <w:t>-</w:t>
      </w:r>
      <w:r>
        <w:t>infringement</w:t>
      </w:r>
      <w:r w:rsidR="007D1E6E">
        <w:t xml:space="preserve"> bears the burden of proving that the patents </w:t>
      </w:r>
      <w:r w:rsidR="007D1E6E" w:rsidRPr="00FC03D0">
        <w:rPr>
          <w:i/>
        </w:rPr>
        <w:t>do not</w:t>
      </w:r>
      <w:r w:rsidR="007D1E6E">
        <w:t xml:space="preserve"> cover the </w:t>
      </w:r>
      <w:r w:rsidR="008105AC">
        <w:t>allegedly infringing p</w:t>
      </w:r>
      <w:r w:rsidR="004621BA">
        <w:t xml:space="preserve">roducts. </w:t>
      </w:r>
      <w:r w:rsidR="008105AC">
        <w:t xml:space="preserve">The licensee, the Federal Circuit opined, is seeking to change the </w:t>
      </w:r>
      <w:r w:rsidR="008105AC" w:rsidRPr="008105AC">
        <w:rPr>
          <w:i/>
        </w:rPr>
        <w:t>status quo</w:t>
      </w:r>
      <w:r w:rsidR="008105AC">
        <w:t xml:space="preserve"> </w:t>
      </w:r>
      <w:r w:rsidR="008105AC">
        <w:lastRenderedPageBreak/>
        <w:t xml:space="preserve">and is the </w:t>
      </w:r>
      <w:r w:rsidR="002604AB">
        <w:t>only party seeking relief, and</w:t>
      </w:r>
      <w:r w:rsidR="008105AC">
        <w:t xml:space="preserve"> </w:t>
      </w:r>
      <w:r w:rsidR="002604AB">
        <w:t>thus</w:t>
      </w:r>
      <w:r w:rsidR="008105AC">
        <w:t xml:space="preserve"> bear</w:t>
      </w:r>
      <w:r w:rsidR="00FC03D0">
        <w:t>s</w:t>
      </w:r>
      <w:r w:rsidR="008105AC">
        <w:t xml:space="preserve"> the burden of persuading the court that relief is justified.</w:t>
      </w:r>
    </w:p>
    <w:p w:rsidR="009C32D3" w:rsidRPr="002604AB" w:rsidRDefault="009C32D3" w:rsidP="00282D28">
      <w:pPr>
        <w:rPr>
          <w:sz w:val="12"/>
          <w:szCs w:val="12"/>
        </w:rPr>
      </w:pPr>
    </w:p>
    <w:p w:rsidR="009C32D3" w:rsidRPr="004621BA" w:rsidRDefault="00F502CA" w:rsidP="004621BA">
      <w:pPr>
        <w:rPr>
          <w:b/>
          <w:u w:val="single"/>
        </w:rPr>
      </w:pPr>
      <w:r w:rsidRPr="004621BA">
        <w:rPr>
          <w:b/>
          <w:u w:val="single"/>
        </w:rPr>
        <w:t xml:space="preserve">Tuesday’s </w:t>
      </w:r>
      <w:r w:rsidR="009C32D3" w:rsidRPr="004621BA">
        <w:rPr>
          <w:b/>
          <w:u w:val="single"/>
        </w:rPr>
        <w:t>Arguments Before the Supreme Court</w:t>
      </w:r>
    </w:p>
    <w:p w:rsidR="007D1E6E" w:rsidRDefault="007D1E6E" w:rsidP="00282D28"/>
    <w:p w:rsidR="00BA461D" w:rsidRDefault="007D1E6E" w:rsidP="00E72B8B">
      <w:r>
        <w:t>On Tuesday,</w:t>
      </w:r>
      <w:r w:rsidR="008105AC">
        <w:t xml:space="preserve"> and in briefing, </w:t>
      </w:r>
      <w:r w:rsidR="00931957">
        <w:t>Re</w:t>
      </w:r>
      <w:r>
        <w:t xml:space="preserve">spondent-patentee Boston Scientific argued that the Federal Circuit was correct </w:t>
      </w:r>
      <w:r w:rsidR="00931957">
        <w:t xml:space="preserve">to place the </w:t>
      </w:r>
      <w:r>
        <w:t>burden</w:t>
      </w:r>
      <w:r w:rsidR="00931957">
        <w:t xml:space="preserve"> on the </w:t>
      </w:r>
      <w:r w:rsidR="009F2874">
        <w:t>licensee</w:t>
      </w:r>
      <w:r w:rsidR="004621BA">
        <w:t xml:space="preserve">. </w:t>
      </w:r>
      <w:r w:rsidR="008105AC">
        <w:t>Boston Sci</w:t>
      </w:r>
      <w:r w:rsidR="004621BA">
        <w:t>entific’s argument was straight</w:t>
      </w:r>
      <w:r w:rsidR="008105AC">
        <w:t xml:space="preserve">forward: </w:t>
      </w:r>
      <w:r w:rsidR="004621BA">
        <w:t>t</w:t>
      </w:r>
      <w:r w:rsidR="005A67FE">
        <w:t>he DJA action here does not ask</w:t>
      </w:r>
      <w:r w:rsidR="00D57AE0">
        <w:t xml:space="preserve"> </w:t>
      </w:r>
      <w:r w:rsidR="00383D34">
        <w:t xml:space="preserve">whether the product-at-issue </w:t>
      </w:r>
      <w:r w:rsidR="00D57AE0">
        <w:t>infringes the licensed patent (since a licensee cannot be an infringer), but</w:t>
      </w:r>
      <w:r w:rsidR="007D7029">
        <w:t xml:space="preserve"> instead</w:t>
      </w:r>
      <w:r w:rsidR="00D57AE0">
        <w:t xml:space="preserve"> </w:t>
      </w:r>
      <w:r w:rsidR="007D7029">
        <w:t>asks</w:t>
      </w:r>
      <w:r w:rsidR="00D57AE0">
        <w:t xml:space="preserve"> </w:t>
      </w:r>
      <w:r w:rsidR="00383D34">
        <w:t>whether</w:t>
      </w:r>
      <w:r w:rsidR="005A67FE">
        <w:t xml:space="preserve"> the licensed patent has</w:t>
      </w:r>
      <w:r w:rsidR="00D57AE0">
        <w:t xml:space="preserve"> </w:t>
      </w:r>
      <w:r w:rsidR="00383D34">
        <w:t>“</w:t>
      </w:r>
      <w:r w:rsidR="00D57AE0">
        <w:t>claim coverage</w:t>
      </w:r>
      <w:r w:rsidR="00383D34">
        <w:t>”</w:t>
      </w:r>
      <w:r w:rsidR="00D57AE0">
        <w:t xml:space="preserve"> </w:t>
      </w:r>
      <w:r w:rsidR="00383D34">
        <w:t xml:space="preserve">over the allegedly infringing product. </w:t>
      </w:r>
      <w:r w:rsidR="001E013B">
        <w:t>Thus</w:t>
      </w:r>
      <w:r w:rsidR="005A67FE">
        <w:t>,</w:t>
      </w:r>
      <w:r w:rsidR="00F502CA">
        <w:t xml:space="preserve"> Respondent argued, the patentee may not, and did not, counterclaim for infringement</w:t>
      </w:r>
      <w:r w:rsidR="005A67FE">
        <w:t>:</w:t>
      </w:r>
      <w:r w:rsidR="00F502CA">
        <w:t xml:space="preserve"> </w:t>
      </w:r>
      <w:r w:rsidR="005A67FE">
        <w:t>it seeks</w:t>
      </w:r>
      <w:r w:rsidR="00F502CA">
        <w:t xml:space="preserve"> no relief from the Cou</w:t>
      </w:r>
      <w:r w:rsidR="005A67FE">
        <w:t>r</w:t>
      </w:r>
      <w:r w:rsidR="00F502CA">
        <w:t>t.</w:t>
      </w:r>
      <w:r w:rsidR="00B27498">
        <w:t xml:space="preserve">  </w:t>
      </w:r>
      <w:r w:rsidR="00383D34">
        <w:t>Accordingly, the burden</w:t>
      </w:r>
      <w:r w:rsidR="00C22DE1">
        <w:t>s</w:t>
      </w:r>
      <w:r w:rsidR="00383D34">
        <w:t xml:space="preserve"> as applied </w:t>
      </w:r>
      <w:r w:rsidR="008105AC">
        <w:t xml:space="preserve">in infringement actions </w:t>
      </w:r>
      <w:r w:rsidR="00C22DE1">
        <w:t>are</w:t>
      </w:r>
      <w:r w:rsidR="00293E44">
        <w:t xml:space="preserve"> irrelevant, </w:t>
      </w:r>
      <w:r w:rsidR="00C22DE1">
        <w:t xml:space="preserve">and, </w:t>
      </w:r>
      <w:r w:rsidR="00293E44">
        <w:t xml:space="preserve">Respondent concluded, the Court is bound by the </w:t>
      </w:r>
      <w:r w:rsidR="00383D34">
        <w:t xml:space="preserve">general rule </w:t>
      </w:r>
      <w:r w:rsidR="00293E44">
        <w:t>that</w:t>
      </w:r>
      <w:r w:rsidR="00383D34">
        <w:t xml:space="preserve"> </w:t>
      </w:r>
      <w:r w:rsidR="00293E44">
        <w:t>the</w:t>
      </w:r>
      <w:r w:rsidR="00383D34">
        <w:t xml:space="preserve"> plaintiff who seeks to change </w:t>
      </w:r>
      <w:r w:rsidR="00F502CA">
        <w:t>the present state of affairs</w:t>
      </w:r>
      <w:r w:rsidR="005A67FE">
        <w:t xml:space="preserve">, </w:t>
      </w:r>
      <w:r w:rsidR="00293E44">
        <w:t>i.e. the licensee, bears the burden of persuasion.</w:t>
      </w:r>
    </w:p>
    <w:p w:rsidR="00BA461D" w:rsidRDefault="00BA461D" w:rsidP="00E72B8B"/>
    <w:p w:rsidR="00596648" w:rsidRDefault="00383D34" w:rsidP="00E72B8B">
      <w:r>
        <w:t>Petitioner-licensee Medtronic</w:t>
      </w:r>
      <w:r w:rsidR="00BA461D">
        <w:t xml:space="preserve"> countered with strong precedential, statutory</w:t>
      </w:r>
      <w:r w:rsidR="005A67FE">
        <w:t xml:space="preserve"> and practical arguments, first noting that t</w:t>
      </w:r>
      <w:r w:rsidR="00C45402">
        <w:t xml:space="preserve">he burdens of </w:t>
      </w:r>
      <w:r w:rsidR="005A67FE">
        <w:rPr>
          <w:i/>
        </w:rPr>
        <w:t>MedImmune</w:t>
      </w:r>
      <w:r w:rsidR="005A67FE">
        <w:t>-type</w:t>
      </w:r>
      <w:r w:rsidR="00C45402">
        <w:t xml:space="preserve"> </w:t>
      </w:r>
      <w:r w:rsidR="005A67FE">
        <w:t xml:space="preserve">DJA </w:t>
      </w:r>
      <w:r w:rsidR="00C45402">
        <w:t>actio</w:t>
      </w:r>
      <w:r w:rsidR="005A67FE">
        <w:t>ns should mirror the</w:t>
      </w:r>
      <w:r w:rsidR="00C45402">
        <w:t xml:space="preserve"> corresponding </w:t>
      </w:r>
      <w:r w:rsidR="00BA461D">
        <w:t>patent infringement action</w:t>
      </w:r>
      <w:r w:rsidR="005A67FE">
        <w:t>s</w:t>
      </w:r>
      <w:r w:rsidR="00BA461D">
        <w:t xml:space="preserve"> where</w:t>
      </w:r>
      <w:r w:rsidR="00C45402">
        <w:t xml:space="preserve"> the </w:t>
      </w:r>
      <w:r w:rsidR="009F2874">
        <w:t>patent owner</w:t>
      </w:r>
      <w:r w:rsidR="00C45402">
        <w:t xml:space="preserve"> bears the burden of proof. </w:t>
      </w:r>
      <w:r w:rsidR="00BA461D">
        <w:t xml:space="preserve"> Petitioner argued that the</w:t>
      </w:r>
      <w:r w:rsidR="00700715">
        <w:t xml:space="preserve"> </w:t>
      </w:r>
      <w:r w:rsidR="00C45402">
        <w:t>DJA</w:t>
      </w:r>
      <w:r w:rsidR="00700715">
        <w:t>, which is strictly procedural, cannot alter a burden of proof, a substantive issue</w:t>
      </w:r>
      <w:r w:rsidR="00BA461D">
        <w:t xml:space="preserve">; </w:t>
      </w:r>
      <w:r w:rsidR="00C45402">
        <w:t>and</w:t>
      </w:r>
      <w:r w:rsidR="00700715">
        <w:t xml:space="preserve"> </w:t>
      </w:r>
      <w:r w:rsidR="00BA461D">
        <w:t>shifting the burden to licensees</w:t>
      </w:r>
      <w:r w:rsidR="00700715">
        <w:t xml:space="preserve"> would frustrate Congress’</w:t>
      </w:r>
      <w:r w:rsidR="00BA461D">
        <w:t xml:space="preserve"> intention of providing potential infringers with a</w:t>
      </w:r>
      <w:r w:rsidR="009C32D3">
        <w:t>n accurate, simple</w:t>
      </w:r>
      <w:r w:rsidR="00BA461D">
        <w:t xml:space="preserve"> </w:t>
      </w:r>
      <w:r w:rsidR="005A67FE">
        <w:t>means</w:t>
      </w:r>
      <w:r w:rsidR="009C32D3">
        <w:t xml:space="preserve"> for</w:t>
      </w:r>
      <w:r w:rsidR="00C45402">
        <w:t xml:space="preserve"> </w:t>
      </w:r>
      <w:r w:rsidR="005A67FE">
        <w:t>a</w:t>
      </w:r>
      <w:r w:rsidR="001B5E95">
        <w:t>s</w:t>
      </w:r>
      <w:r w:rsidR="005A67FE">
        <w:t>certaining</w:t>
      </w:r>
      <w:r w:rsidR="00BA461D">
        <w:t xml:space="preserve"> the extent of the</w:t>
      </w:r>
      <w:r w:rsidR="00C45402">
        <w:t xml:space="preserve"> </w:t>
      </w:r>
      <w:r w:rsidR="00BA461D">
        <w:t>patentee’s right</w:t>
      </w:r>
      <w:r w:rsidR="005A67FE">
        <w:t xml:space="preserve"> </w:t>
      </w:r>
      <w:r w:rsidR="00BA461D">
        <w:t>to exclude</w:t>
      </w:r>
      <w:r w:rsidR="004621BA">
        <w:t xml:space="preserve">. </w:t>
      </w:r>
      <w:r w:rsidR="00C45402">
        <w:t>Additionally, Medtronic</w:t>
      </w:r>
      <w:r w:rsidR="005A67FE">
        <w:t xml:space="preserve"> effectively argued</w:t>
      </w:r>
      <w:r w:rsidR="00BA461D">
        <w:t xml:space="preserve"> that different </w:t>
      </w:r>
      <w:r w:rsidR="00916783">
        <w:t xml:space="preserve">burdens between DJA actions and infringement </w:t>
      </w:r>
      <w:r w:rsidR="00BA461D">
        <w:t>actions</w:t>
      </w:r>
      <w:r w:rsidR="00916783">
        <w:t xml:space="preserve"> would eviscerate the claim preclusive effect of declaratory judgments</w:t>
      </w:r>
      <w:r w:rsidR="00700715">
        <w:t xml:space="preserve">, </w:t>
      </w:r>
      <w:r w:rsidR="00647FBB">
        <w:t>impairing</w:t>
      </w:r>
      <w:r w:rsidR="00BA461D">
        <w:t xml:space="preserve"> finality and </w:t>
      </w:r>
      <w:r w:rsidR="004621BA">
        <w:t xml:space="preserve">creating judicial waste. </w:t>
      </w:r>
      <w:r w:rsidR="009C32D3">
        <w:t>Medtronic pointed out that l</w:t>
      </w:r>
      <w:r w:rsidR="00BA461D">
        <w:t>icensees</w:t>
      </w:r>
      <w:r w:rsidR="009C32D3">
        <w:t xml:space="preserve"> </w:t>
      </w:r>
      <w:r w:rsidR="001B5E95">
        <w:t>who</w:t>
      </w:r>
      <w:r w:rsidR="00BA461D">
        <w:t xml:space="preserve"> </w:t>
      </w:r>
      <w:r w:rsidR="009C32D3">
        <w:t>failed to carry the</w:t>
      </w:r>
      <w:r w:rsidR="001B5E95">
        <w:t>ir</w:t>
      </w:r>
      <w:r w:rsidR="009C32D3">
        <w:t xml:space="preserve"> burden of non-infringement in a DJA action</w:t>
      </w:r>
      <w:r w:rsidR="00BA461D">
        <w:t xml:space="preserve"> could simply </w:t>
      </w:r>
      <w:r w:rsidR="009C32D3">
        <w:t>continue their conduct</w:t>
      </w:r>
      <w:r w:rsidR="00BA461D">
        <w:t xml:space="preserve"> and force the patentee </w:t>
      </w:r>
      <w:r w:rsidR="009C32D3">
        <w:t>to file an infringement action where the patentee would bear the burden, forcing the court to re-litigate the entire case</w:t>
      </w:r>
      <w:r w:rsidR="001B5E95">
        <w:t>.</w:t>
      </w:r>
    </w:p>
    <w:p w:rsidR="00F5317C" w:rsidRDefault="00F5317C" w:rsidP="00F5317C">
      <w:pPr>
        <w:rPr>
          <w:b/>
        </w:rPr>
      </w:pPr>
    </w:p>
    <w:p w:rsidR="00F57242" w:rsidRDefault="009C32D3" w:rsidP="00E72B8B">
      <w:r>
        <w:t>The Supreme Court overwhelmingly favor</w:t>
      </w:r>
      <w:r w:rsidR="001B5E95">
        <w:t>ed</w:t>
      </w:r>
      <w:r>
        <w:t xml:space="preserve"> </w:t>
      </w:r>
      <w:r w:rsidR="00F57242">
        <w:t xml:space="preserve">Petitioner </w:t>
      </w:r>
      <w:r>
        <w:t>Medtronic’</w:t>
      </w:r>
      <w:r w:rsidR="00F57242">
        <w:t>s position</w:t>
      </w:r>
      <w:r>
        <w:t xml:space="preserve"> </w:t>
      </w:r>
      <w:r w:rsidR="00F57242">
        <w:t>(</w:t>
      </w:r>
      <w:r>
        <w:t>shared by the majority of amici</w:t>
      </w:r>
      <w:r w:rsidR="00F57242">
        <w:t>)</w:t>
      </w:r>
      <w:r w:rsidR="001B5E95">
        <w:t xml:space="preserve"> and appeared fully prepared to overturn the Federal Circuit</w:t>
      </w:r>
      <w:r w:rsidR="004621BA">
        <w:t xml:space="preserve">. </w:t>
      </w:r>
      <w:r>
        <w:t xml:space="preserve">The </w:t>
      </w:r>
      <w:r w:rsidR="00F57242">
        <w:t>Justices</w:t>
      </w:r>
      <w:r>
        <w:t xml:space="preserve"> </w:t>
      </w:r>
      <w:r w:rsidR="001B5E95">
        <w:t>received P</w:t>
      </w:r>
      <w:r>
        <w:t>etitioner</w:t>
      </w:r>
      <w:r w:rsidR="004621BA">
        <w:t xml:space="preserve"> Med</w:t>
      </w:r>
      <w:r w:rsidR="00647FBB">
        <w:t>t</w:t>
      </w:r>
      <w:r w:rsidR="004621BA">
        <w:t>r</w:t>
      </w:r>
      <w:r w:rsidR="00647FBB">
        <w:t>onic</w:t>
      </w:r>
      <w:r>
        <w:t xml:space="preserve">’s arguments </w:t>
      </w:r>
      <w:r w:rsidR="00F57242">
        <w:t xml:space="preserve">with little </w:t>
      </w:r>
      <w:r w:rsidR="001B5E95">
        <w:t>debate</w:t>
      </w:r>
      <w:r>
        <w:t xml:space="preserve">, </w:t>
      </w:r>
      <w:r w:rsidR="001B5E95">
        <w:t>positing</w:t>
      </w:r>
      <w:r w:rsidR="00F57242">
        <w:t xml:space="preserve"> </w:t>
      </w:r>
      <w:r>
        <w:t xml:space="preserve">questions only to confirm </w:t>
      </w:r>
      <w:r w:rsidR="00F57242">
        <w:t xml:space="preserve">their </w:t>
      </w:r>
      <w:r>
        <w:t xml:space="preserve">understanding of </w:t>
      </w:r>
      <w:r w:rsidR="00F57242">
        <w:t>the</w:t>
      </w:r>
      <w:r>
        <w:t xml:space="preserve"> practical effects of pla</w:t>
      </w:r>
      <w:r w:rsidR="00F57242">
        <w:t xml:space="preserve">cing the burden on the </w:t>
      </w:r>
      <w:r w:rsidR="009F2874">
        <w:t>patent owner</w:t>
      </w:r>
      <w:r w:rsidR="00F57242">
        <w:t>, and allowing Mr. Waxman and Mr. Gannon lengthy,</w:t>
      </w:r>
      <w:r w:rsidR="001B5E95">
        <w:t xml:space="preserve"> mostly</w:t>
      </w:r>
      <w:r w:rsidR="00F57242">
        <w:t xml:space="preserve"> uninterrupted opportunities to </w:t>
      </w:r>
      <w:r w:rsidR="001B5E95">
        <w:t>explain</w:t>
      </w:r>
      <w:r w:rsidR="00F57242">
        <w:t>.</w:t>
      </w:r>
      <w:r>
        <w:t xml:space="preserve"> </w:t>
      </w:r>
      <w:r w:rsidR="00F57242">
        <w:t xml:space="preserve"> </w:t>
      </w:r>
    </w:p>
    <w:p w:rsidR="00F57242" w:rsidRDefault="00F57242" w:rsidP="00E72B8B"/>
    <w:p w:rsidR="002604AB" w:rsidRDefault="00F57242" w:rsidP="00E72B8B">
      <w:r>
        <w:t xml:space="preserve">Mr. Neustadt for the Respondent, on the other hand, faced a significantly more active bench </w:t>
      </w:r>
      <w:r w:rsidR="00F502CA">
        <w:t>as all but Justice</w:t>
      </w:r>
      <w:r w:rsidR="002C6B65">
        <w:t>s</w:t>
      </w:r>
      <w:r w:rsidR="00F502CA">
        <w:t xml:space="preserve"> Thomas</w:t>
      </w:r>
      <w:r w:rsidR="002C6B65">
        <w:t xml:space="preserve"> and Alito</w:t>
      </w:r>
      <w:r w:rsidR="00F502CA">
        <w:t xml:space="preserve"> </w:t>
      </w:r>
      <w:r w:rsidR="001B5E95">
        <w:t>openly</w:t>
      </w:r>
      <w:r w:rsidR="00F502CA">
        <w:t xml:space="preserve"> voiced their opposition to </w:t>
      </w:r>
      <w:r w:rsidR="001B5E95">
        <w:t>Respondent</w:t>
      </w:r>
      <w:r w:rsidR="00F502CA">
        <w:t>’s</w:t>
      </w:r>
      <w:r w:rsidR="004621BA">
        <w:t xml:space="preserve"> position. </w:t>
      </w:r>
      <w:r>
        <w:t xml:space="preserve">Justice Scalia repeatedly </w:t>
      </w:r>
      <w:r w:rsidR="00647FBB">
        <w:t>asked Respondent</w:t>
      </w:r>
      <w:r>
        <w:t xml:space="preserve"> </w:t>
      </w:r>
      <w:r w:rsidR="00F502CA">
        <w:t xml:space="preserve">how </w:t>
      </w:r>
      <w:r w:rsidR="00A734C7">
        <w:t>this action differed from other DJA</w:t>
      </w:r>
      <w:r w:rsidR="00F502CA">
        <w:t xml:space="preserve"> action</w:t>
      </w:r>
      <w:r w:rsidR="001B5E95">
        <w:t>s that</w:t>
      </w:r>
      <w:r w:rsidR="00F502CA">
        <w:t xml:space="preserve"> </w:t>
      </w:r>
      <w:r w:rsidR="001B5E95">
        <w:t>similarly</w:t>
      </w:r>
      <w:r w:rsidR="00F502CA">
        <w:t xml:space="preserve"> </w:t>
      </w:r>
      <w:r w:rsidR="00647FBB">
        <w:t>preclude</w:t>
      </w:r>
      <w:r w:rsidR="00F502CA">
        <w:t xml:space="preserve"> </w:t>
      </w:r>
      <w:r w:rsidR="00647FBB">
        <w:t>counterclaims by the declaratory-defendant</w:t>
      </w:r>
      <w:r w:rsidR="001B5E95">
        <w:t xml:space="preserve">; and </w:t>
      </w:r>
      <w:r w:rsidR="00F502CA">
        <w:t xml:space="preserve">also </w:t>
      </w:r>
      <w:r w:rsidR="009F2874">
        <w:t>focused</w:t>
      </w:r>
      <w:r w:rsidR="00F502CA">
        <w:t xml:space="preserve"> on the judicial waste that would result if the Court shifted the burden of persuasion</w:t>
      </w:r>
      <w:r w:rsidR="001B5E95">
        <w:t xml:space="preserve"> and eliminated the</w:t>
      </w:r>
      <w:r w:rsidR="004621BA">
        <w:t xml:space="preserve"> benefit of claim preclusion. </w:t>
      </w:r>
      <w:r w:rsidR="00F502CA">
        <w:t>Justices Breyer a</w:t>
      </w:r>
      <w:r w:rsidR="002604AB">
        <w:t>nd Sot</w:t>
      </w:r>
      <w:r w:rsidR="00F502CA">
        <w:t xml:space="preserve">omayor </w:t>
      </w:r>
      <w:r w:rsidR="001B5E95">
        <w:t xml:space="preserve">strongly contested </w:t>
      </w:r>
      <w:r w:rsidR="00F502CA">
        <w:t>Boston Scientific’s distinction between “claim coverage” and “infringement</w:t>
      </w:r>
      <w:r w:rsidR="001B5E95">
        <w:t xml:space="preserve">,” and ultimately appeared unconvinced. </w:t>
      </w:r>
    </w:p>
    <w:p w:rsidR="00647FBB" w:rsidRDefault="00647FBB" w:rsidP="00E72B8B"/>
    <w:p w:rsidR="00647FBB" w:rsidRDefault="00647FBB" w:rsidP="00E72B8B">
      <w:r>
        <w:t>The Supreme Court is expected to issue a ruling in early 2014, and barring any sudden shifts in perspective by the Justices, the case seems destined for reversal.</w:t>
      </w:r>
    </w:p>
    <w:p w:rsidR="00647FBB" w:rsidRDefault="008F7460" w:rsidP="00E72B8B">
      <w:r>
        <w:rPr>
          <w:noProof/>
        </w:rPr>
        <w:lastRenderedPageBreak/>
        <mc:AlternateContent>
          <mc:Choice Requires="wps">
            <w:drawing>
              <wp:anchor distT="0" distB="0" distL="114300" distR="114300" simplePos="0" relativeHeight="251659264" behindDoc="0" locked="0" layoutInCell="0" allowOverlap="1" wp14:anchorId="5991025D" wp14:editId="2B147F34">
                <wp:simplePos x="0" y="0"/>
                <wp:positionH relativeFrom="page">
                  <wp:posOffset>830580</wp:posOffset>
                </wp:positionH>
                <wp:positionV relativeFrom="page">
                  <wp:posOffset>1056640</wp:posOffset>
                </wp:positionV>
                <wp:extent cx="6172200" cy="3698240"/>
                <wp:effectExtent l="19050" t="19050" r="38100" b="3048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98240"/>
                        </a:xfrm>
                        <a:prstGeom prst="rect">
                          <a:avLst/>
                        </a:prstGeom>
                        <a:noFill/>
                        <a:ln w="5715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5317C" w:rsidRPr="00F5317C" w:rsidRDefault="00F5317C" w:rsidP="00F5317C">
                            <w:r>
                              <w:rPr>
                                <w:b/>
                              </w:rPr>
                              <w:t xml:space="preserve">Background: </w:t>
                            </w:r>
                            <w:r>
                              <w:t>Petitioner Medtronic designs and produces card</w:t>
                            </w:r>
                            <w:r w:rsidR="004621BA">
                              <w:t>iac resynchronization therapy (CRT</w:t>
                            </w:r>
                            <w:r>
                              <w:t>) devices that continuously coordinate contractions of the left and right ventricles of the heart, significantly improving the heart’s pumping ability and reducing the risk of heart failure.  Medtronic and Boston Scientific (via its predecessors in interest) entered into a set of licensing agreements, under which Boston Scientific would inform Medtronic of any contentions of infringement of the licensed patents, and Medtronic could challenge those assertions through a declaratory judgment action. Ev</w:t>
                            </w:r>
                            <w:r w:rsidR="002604AB">
                              <w:t>entually, Medtronic filed such this</w:t>
                            </w:r>
                            <w:r>
                              <w:t xml:space="preserve"> declaratory action, and each party argued that the other carried the burden of persuasion as to whether the licensed patent covered the allegedly infringing products. </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4pt;margin-top:83.2pt;width:486pt;height:29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7/lgIAACg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" o:allowincell="f" filled="f" strokecolor="#622423" strokeweight="4.5pt">
                <v:stroke linestyle="thickThin"/>
                <v:textbox style="mso-fit-shape-to-text:t" inset="10.8pt,7.2pt,10.8pt,7.2pt">
                  <w:txbxContent>
                    <w:p w:rsidR="00F5317C" w:rsidRPr="00F5317C" w:rsidRDefault="00F5317C" w:rsidP="00F5317C">
                      <w:r>
                        <w:rPr>
                          <w:b/>
                        </w:rPr>
                        <w:t xml:space="preserve">Background: </w:t>
                      </w:r>
                      <w:r>
                        <w:t>Petitioner Medtronic designs and produces card</w:t>
                      </w:r>
                      <w:r w:rsidR="004621BA">
                        <w:t>iac resynchronization therapy (CRT</w:t>
                      </w:r>
                      <w:r>
                        <w:t xml:space="preserve">) devices that continuously coordinate contractions of the left and right ventricles of the heart, significantly improving the heart’s pumping ability and reducing the risk of heart failure.  Medtronic and Boston Scientific (via its predecessors in interest) entered into a set of licensing agreements, under which Boston Scientific would inform Medtronic of any contentions of infringement of the licensed patents, and Medtronic could challenge those assertions through a declaratory judgment action. </w:t>
                      </w:r>
                      <w:bookmarkStart w:id="1" w:name="_GoBack"/>
                      <w:bookmarkEnd w:id="1"/>
                      <w:r>
                        <w:t>Ev</w:t>
                      </w:r>
                      <w:r w:rsidR="002604AB">
                        <w:t>entually, Medtronic filed such this</w:t>
                      </w:r>
                      <w:r>
                        <w:t xml:space="preserve"> declaratory action, and each party argued that the other carried the burden of persuasion as to whether the licensed patent covered the allegedly infringing products. </w:t>
                      </w:r>
                    </w:p>
                  </w:txbxContent>
                </v:textbox>
                <w10:wrap type="square" anchorx="page" anchory="page"/>
              </v:shape>
            </w:pict>
          </mc:Fallback>
        </mc:AlternateContent>
      </w:r>
    </w:p>
    <w:sectPr w:rsidR="00647FBB" w:rsidSect="002604AB">
      <w:footerReference w:type="even" r:id="rId10"/>
      <w:type w:val="continuous"/>
      <w:pgSz w:w="12240" w:h="15840" w:code="1"/>
      <w:pgMar w:top="1440" w:right="1440" w:bottom="1440" w:left="1440" w:header="1296"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51" w:rsidRDefault="00636351">
      <w:r>
        <w:separator/>
      </w:r>
    </w:p>
  </w:endnote>
  <w:endnote w:type="continuationSeparator" w:id="0">
    <w:p w:rsidR="00636351" w:rsidRDefault="0063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A86" w:rsidRDefault="00D54A86">
    <w:pPr>
      <w:framePr w:wrap="around" w:vAnchor="text" w:hAnchor="margin" w:xAlign="center" w:y="1"/>
    </w:pPr>
    <w:r>
      <w:fldChar w:fldCharType="begin"/>
    </w:r>
    <w:r>
      <w:instrText xml:space="preserve">PAGE  </w:instrText>
    </w:r>
    <w:r>
      <w:fldChar w:fldCharType="end"/>
    </w:r>
  </w:p>
  <w:p w:rsidR="00D54A86" w:rsidRDefault="00D54A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51" w:rsidRDefault="00636351">
      <w:r>
        <w:separator/>
      </w:r>
    </w:p>
  </w:footnote>
  <w:footnote w:type="continuationSeparator" w:id="0">
    <w:p w:rsidR="00636351" w:rsidRDefault="00636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91782"/>
    <w:multiLevelType w:val="hybridMultilevel"/>
    <w:tmpl w:val="93A0CCDE"/>
    <w:lvl w:ilvl="0" w:tplc="FA66A2A6">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51"/>
    <w:rsid w:val="0012324F"/>
    <w:rsid w:val="001420AB"/>
    <w:rsid w:val="00176414"/>
    <w:rsid w:val="001B5E95"/>
    <w:rsid w:val="001B74C0"/>
    <w:rsid w:val="001E013B"/>
    <w:rsid w:val="001E3CAE"/>
    <w:rsid w:val="002604AB"/>
    <w:rsid w:val="00282D28"/>
    <w:rsid w:val="00293E44"/>
    <w:rsid w:val="002C6B65"/>
    <w:rsid w:val="00370A86"/>
    <w:rsid w:val="00372A02"/>
    <w:rsid w:val="00383D34"/>
    <w:rsid w:val="00395AC2"/>
    <w:rsid w:val="004152FC"/>
    <w:rsid w:val="004621BA"/>
    <w:rsid w:val="00596648"/>
    <w:rsid w:val="005A67FE"/>
    <w:rsid w:val="005B27E2"/>
    <w:rsid w:val="005E0240"/>
    <w:rsid w:val="005E1EC7"/>
    <w:rsid w:val="005F728A"/>
    <w:rsid w:val="00636351"/>
    <w:rsid w:val="00645018"/>
    <w:rsid w:val="00647FBB"/>
    <w:rsid w:val="006A3DAA"/>
    <w:rsid w:val="006B51A1"/>
    <w:rsid w:val="006C378F"/>
    <w:rsid w:val="006C7A3C"/>
    <w:rsid w:val="00700715"/>
    <w:rsid w:val="007A5B4D"/>
    <w:rsid w:val="007D108A"/>
    <w:rsid w:val="007D1E6E"/>
    <w:rsid w:val="007D7029"/>
    <w:rsid w:val="008105AC"/>
    <w:rsid w:val="00816699"/>
    <w:rsid w:val="008F7460"/>
    <w:rsid w:val="00916783"/>
    <w:rsid w:val="00931957"/>
    <w:rsid w:val="009333E8"/>
    <w:rsid w:val="00994543"/>
    <w:rsid w:val="009C32D3"/>
    <w:rsid w:val="009F2874"/>
    <w:rsid w:val="00A34B54"/>
    <w:rsid w:val="00A52155"/>
    <w:rsid w:val="00A734C7"/>
    <w:rsid w:val="00AA354B"/>
    <w:rsid w:val="00B103E5"/>
    <w:rsid w:val="00B27498"/>
    <w:rsid w:val="00B567E2"/>
    <w:rsid w:val="00B94726"/>
    <w:rsid w:val="00BA461D"/>
    <w:rsid w:val="00BA562E"/>
    <w:rsid w:val="00BC0E44"/>
    <w:rsid w:val="00C22DE1"/>
    <w:rsid w:val="00C45402"/>
    <w:rsid w:val="00D05BBE"/>
    <w:rsid w:val="00D1512A"/>
    <w:rsid w:val="00D54207"/>
    <w:rsid w:val="00D54A86"/>
    <w:rsid w:val="00D57AE0"/>
    <w:rsid w:val="00DE1757"/>
    <w:rsid w:val="00E27865"/>
    <w:rsid w:val="00E4709A"/>
    <w:rsid w:val="00E72B8B"/>
    <w:rsid w:val="00F1776F"/>
    <w:rsid w:val="00F502CA"/>
    <w:rsid w:val="00F5317C"/>
    <w:rsid w:val="00F57242"/>
    <w:rsid w:val="00F87756"/>
    <w:rsid w:val="00FC03D0"/>
    <w:rsid w:val="00FC4716"/>
    <w:rsid w:val="00FE1774"/>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apsUnd-DSTOC">
    <w:name w:val="_TitleCapsUnd-DS TOC"/>
    <w:aliases w:val="tcudtoc"/>
    <w:basedOn w:val="Normal"/>
    <w:uiPriority w:val="99"/>
    <w:rsid w:val="00645018"/>
    <w:pPr>
      <w:keepNext/>
      <w:keepLines/>
      <w:adjustRightInd w:val="0"/>
      <w:spacing w:line="480" w:lineRule="auto"/>
      <w:jc w:val="center"/>
      <w:outlineLvl w:val="0"/>
    </w:pPr>
    <w:rPr>
      <w:rFonts w:ascii="Times New (W1)" w:eastAsia="Times New Roman" w:hAnsi="Times New (W1)" w:cs="Times New Roman"/>
      <w:b/>
      <w:caps/>
      <w:u w:val="single"/>
    </w:rPr>
  </w:style>
  <w:style w:type="paragraph" w:customStyle="1" w:styleId="TitleCapsUnd-SSTOC">
    <w:name w:val="_TitleCapsUnd-SS TOC"/>
    <w:aliases w:val="tcustoc"/>
    <w:basedOn w:val="Normal"/>
    <w:uiPriority w:val="99"/>
    <w:rsid w:val="00645018"/>
    <w:pPr>
      <w:keepNext/>
      <w:keepLines/>
      <w:adjustRightInd w:val="0"/>
      <w:spacing w:after="240"/>
      <w:jc w:val="center"/>
      <w:outlineLvl w:val="0"/>
    </w:pPr>
    <w:rPr>
      <w:rFonts w:ascii="Times New (W1)" w:eastAsia="Times New Roman" w:hAnsi="Times New (W1)" w:cs="Times New Roman"/>
      <w:b/>
      <w:caps/>
      <w:u w:val="single"/>
    </w:rPr>
  </w:style>
  <w:style w:type="paragraph" w:customStyle="1" w:styleId="Title-DSTOC">
    <w:name w:val="_Title-DS TOC"/>
    <w:aliases w:val="tdtoc"/>
    <w:basedOn w:val="Normal"/>
    <w:uiPriority w:val="99"/>
    <w:rsid w:val="00645018"/>
    <w:pPr>
      <w:keepNext/>
      <w:keepLines/>
      <w:adjustRightInd w:val="0"/>
      <w:spacing w:line="480" w:lineRule="auto"/>
      <w:jc w:val="center"/>
      <w:outlineLvl w:val="0"/>
    </w:pPr>
    <w:rPr>
      <w:rFonts w:eastAsia="Times New Roman" w:cs="Times New Roman"/>
      <w:b/>
    </w:rPr>
  </w:style>
  <w:style w:type="paragraph" w:customStyle="1" w:styleId="Title-SSTOC">
    <w:name w:val="_Title-SS TOC"/>
    <w:aliases w:val="tstoc"/>
    <w:basedOn w:val="Normal"/>
    <w:uiPriority w:val="99"/>
    <w:rsid w:val="00645018"/>
    <w:pPr>
      <w:keepNext/>
      <w:keepLines/>
      <w:adjustRightInd w:val="0"/>
      <w:spacing w:after="240"/>
      <w:jc w:val="center"/>
      <w:outlineLvl w:val="0"/>
    </w:pPr>
    <w:rPr>
      <w:rFonts w:eastAsia="Times New Roman" w:cs="Times New Roman"/>
      <w:b/>
    </w:rPr>
  </w:style>
  <w:style w:type="paragraph" w:customStyle="1" w:styleId="TitleUnd-DSTOC">
    <w:name w:val="_TitleUnd-DS TOC"/>
    <w:aliases w:val="tudtoc"/>
    <w:basedOn w:val="Normal"/>
    <w:uiPriority w:val="99"/>
    <w:rsid w:val="00645018"/>
    <w:pPr>
      <w:keepNext/>
      <w:keepLines/>
      <w:adjustRightInd w:val="0"/>
      <w:spacing w:line="480" w:lineRule="auto"/>
      <w:jc w:val="center"/>
      <w:outlineLvl w:val="0"/>
    </w:pPr>
    <w:rPr>
      <w:rFonts w:eastAsia="Times New Roman" w:cs="Times New Roman"/>
      <w:b/>
      <w:u w:val="single"/>
    </w:rPr>
  </w:style>
  <w:style w:type="paragraph" w:customStyle="1" w:styleId="TitleUnd-SSTOC">
    <w:name w:val="_TitleUnd-SS TOC"/>
    <w:aliases w:val="tustoc"/>
    <w:basedOn w:val="Normal"/>
    <w:uiPriority w:val="99"/>
    <w:rsid w:val="00645018"/>
    <w:pPr>
      <w:keepNext/>
      <w:keepLines/>
      <w:adjustRightInd w:val="0"/>
      <w:spacing w:after="240"/>
      <w:jc w:val="center"/>
      <w:outlineLvl w:val="0"/>
    </w:pPr>
    <w:rPr>
      <w:rFonts w:eastAsia="Times New Roman" w:cs="Times New Roman"/>
      <w:b/>
      <w:u w:val="single"/>
    </w:rPr>
  </w:style>
  <w:style w:type="paragraph" w:customStyle="1" w:styleId="Address">
    <w:name w:val="_Address"/>
    <w:aliases w:val="a"/>
    <w:basedOn w:val="Normal"/>
    <w:next w:val="Normal"/>
    <w:uiPriority w:val="99"/>
    <w:rsid w:val="00645018"/>
    <w:pPr>
      <w:keepNext/>
    </w:pPr>
    <w:rPr>
      <w:rFonts w:eastAsia="Times New Roman" w:cs="Times New Roman"/>
    </w:rPr>
  </w:style>
  <w:style w:type="paragraph" w:customStyle="1" w:styleId="DoubleIndent5-DS">
    <w:name w:val="_DoubleIndent.5-DS"/>
    <w:aliases w:val="di5ds"/>
    <w:basedOn w:val="Normal"/>
    <w:uiPriority w:val="99"/>
    <w:rsid w:val="00645018"/>
    <w:pPr>
      <w:spacing w:line="480" w:lineRule="auto"/>
      <w:ind w:left="720" w:right="720"/>
      <w:jc w:val="both"/>
    </w:pPr>
    <w:rPr>
      <w:rFonts w:eastAsia="Times New Roman" w:cs="Times New Roman"/>
    </w:rPr>
  </w:style>
  <w:style w:type="paragraph" w:customStyle="1" w:styleId="DoubleIndent5-SS">
    <w:name w:val="_DoubleIndent.5-SS"/>
    <w:aliases w:val="di5ss"/>
    <w:basedOn w:val="Normal"/>
    <w:uiPriority w:val="99"/>
    <w:rsid w:val="00645018"/>
    <w:pPr>
      <w:spacing w:after="240"/>
      <w:ind w:left="720" w:right="720"/>
      <w:jc w:val="both"/>
    </w:pPr>
    <w:rPr>
      <w:rFonts w:eastAsia="Times New Roman" w:cs="Times New Roman"/>
    </w:rPr>
  </w:style>
  <w:style w:type="paragraph" w:customStyle="1" w:styleId="DoubleIndent1-DS">
    <w:name w:val="_DoubleIndent1-DS"/>
    <w:aliases w:val="di1ds"/>
    <w:basedOn w:val="Normal"/>
    <w:uiPriority w:val="99"/>
    <w:rsid w:val="00645018"/>
    <w:pPr>
      <w:spacing w:line="480" w:lineRule="auto"/>
      <w:ind w:left="1440" w:right="1440"/>
      <w:jc w:val="both"/>
    </w:pPr>
    <w:rPr>
      <w:rFonts w:eastAsia="Times New Roman" w:cs="Times New Roman"/>
    </w:rPr>
  </w:style>
  <w:style w:type="paragraph" w:customStyle="1" w:styleId="DoubleIndent1-SS">
    <w:name w:val="_DoubleIndent1-SS"/>
    <w:aliases w:val="di1ss"/>
    <w:basedOn w:val="Normal"/>
    <w:uiPriority w:val="99"/>
    <w:rsid w:val="00645018"/>
    <w:pPr>
      <w:spacing w:after="240"/>
      <w:ind w:left="1440" w:right="1440"/>
      <w:jc w:val="both"/>
    </w:pPr>
    <w:rPr>
      <w:rFonts w:eastAsia="Times New Roman" w:cs="Times New Roman"/>
    </w:rPr>
  </w:style>
  <w:style w:type="paragraph" w:customStyle="1" w:styleId="Body5">
    <w:name w:val="_Body&gt;.5"/>
    <w:aliases w:val="b&gt;.5ds"/>
    <w:basedOn w:val="Normal"/>
    <w:uiPriority w:val="99"/>
    <w:rsid w:val="00645018"/>
    <w:pPr>
      <w:spacing w:line="480" w:lineRule="auto"/>
      <w:ind w:firstLine="720"/>
      <w:jc w:val="both"/>
    </w:pPr>
    <w:rPr>
      <w:rFonts w:eastAsia="Times New Roman" w:cs="Times New Roman"/>
    </w:rPr>
  </w:style>
  <w:style w:type="paragraph" w:customStyle="1" w:styleId="Body5-SS">
    <w:name w:val="_Body&gt;.5-SS"/>
    <w:aliases w:val="b&gt;.5ss"/>
    <w:basedOn w:val="Normal"/>
    <w:uiPriority w:val="99"/>
    <w:rsid w:val="00645018"/>
    <w:pPr>
      <w:spacing w:after="240"/>
      <w:ind w:firstLine="720"/>
      <w:jc w:val="both"/>
    </w:pPr>
    <w:rPr>
      <w:rFonts w:eastAsia="Times New Roman" w:cs="Times New Roman"/>
    </w:rPr>
  </w:style>
  <w:style w:type="paragraph" w:customStyle="1" w:styleId="Date">
    <w:name w:val="_Date"/>
    <w:basedOn w:val="Normal"/>
    <w:uiPriority w:val="99"/>
    <w:rsid w:val="00645018"/>
    <w:pPr>
      <w:adjustRightInd w:val="0"/>
      <w:spacing w:before="1920" w:after="480"/>
      <w:jc w:val="center"/>
    </w:pPr>
    <w:rPr>
      <w:rFonts w:eastAsia="Times New Roman" w:cs="Times New Roman"/>
    </w:rPr>
  </w:style>
  <w:style w:type="paragraph" w:customStyle="1" w:styleId="NotaryBlock">
    <w:name w:val="_Notary Block"/>
    <w:aliases w:val="not"/>
    <w:basedOn w:val="Normal"/>
    <w:uiPriority w:val="99"/>
    <w:rsid w:val="00645018"/>
    <w:pPr>
      <w:spacing w:after="240"/>
      <w:ind w:right="5040"/>
    </w:pPr>
    <w:rPr>
      <w:rFonts w:eastAsia="Times New Roman" w:cs="Times New Roman"/>
    </w:rPr>
  </w:style>
  <w:style w:type="paragraph" w:customStyle="1" w:styleId="ReLineindent">
    <w:name w:val="_Re Line indent"/>
    <w:aliases w:val="rei"/>
    <w:basedOn w:val="Normal"/>
    <w:next w:val="Normal"/>
    <w:uiPriority w:val="99"/>
    <w:rsid w:val="00645018"/>
    <w:pPr>
      <w:spacing w:after="240"/>
      <w:ind w:left="1440" w:hanging="720"/>
    </w:pPr>
    <w:rPr>
      <w:rFonts w:eastAsia="Times New Roman" w:cs="Times New Roman"/>
    </w:rPr>
  </w:style>
  <w:style w:type="paragraph" w:customStyle="1" w:styleId="ReLinenoindentbold">
    <w:name w:val="_Re Line no indent bold"/>
    <w:aliases w:val="reb"/>
    <w:basedOn w:val="Normal"/>
    <w:uiPriority w:val="99"/>
    <w:rsid w:val="00645018"/>
    <w:pPr>
      <w:tabs>
        <w:tab w:val="left" w:pos="720"/>
      </w:tabs>
      <w:spacing w:after="240"/>
    </w:pPr>
    <w:rPr>
      <w:rFonts w:eastAsia="Times New Roman" w:cs="Times New Roman"/>
      <w:b/>
    </w:rPr>
  </w:style>
  <w:style w:type="paragraph" w:customStyle="1" w:styleId="RELinenoindent">
    <w:name w:val="_RE Line no indent"/>
    <w:aliases w:val="re"/>
    <w:basedOn w:val="Normal"/>
    <w:uiPriority w:val="99"/>
    <w:rsid w:val="00645018"/>
    <w:pPr>
      <w:keepNext/>
      <w:keepLines/>
      <w:tabs>
        <w:tab w:val="left" w:pos="720"/>
      </w:tabs>
      <w:ind w:left="720" w:hanging="720"/>
    </w:pPr>
    <w:rPr>
      <w:rFonts w:eastAsia="Times New Roman" w:cs="Times New Roman"/>
    </w:rPr>
  </w:style>
  <w:style w:type="paragraph" w:customStyle="1" w:styleId="Salutation">
    <w:name w:val="_Salutation"/>
    <w:basedOn w:val="Normal"/>
    <w:uiPriority w:val="99"/>
    <w:rsid w:val="00645018"/>
    <w:pPr>
      <w:adjustRightInd w:val="0"/>
      <w:spacing w:after="240"/>
    </w:pPr>
    <w:rPr>
      <w:rFonts w:eastAsia="Times New Roman" w:cs="Times New Roman"/>
    </w:rPr>
  </w:style>
  <w:style w:type="paragraph" w:customStyle="1" w:styleId="SignatureIndent3">
    <w:name w:val="_SignatureIndent3"/>
    <w:aliases w:val="sig3"/>
    <w:basedOn w:val="Normal"/>
    <w:uiPriority w:val="99"/>
    <w:rsid w:val="00645018"/>
    <w:pPr>
      <w:keepNext/>
      <w:keepLines/>
      <w:adjustRightInd w:val="0"/>
      <w:spacing w:after="240"/>
      <w:ind w:left="4320"/>
    </w:pPr>
    <w:rPr>
      <w:rFonts w:eastAsia="Times New Roman" w:cs="Times New Roman"/>
    </w:rPr>
  </w:style>
  <w:style w:type="paragraph" w:customStyle="1" w:styleId="SignatureLeft">
    <w:name w:val="_SignatureLeft"/>
    <w:aliases w:val="sig0"/>
    <w:basedOn w:val="Normal"/>
    <w:uiPriority w:val="99"/>
    <w:rsid w:val="00645018"/>
    <w:pPr>
      <w:keepNext/>
      <w:keepLines/>
      <w:spacing w:after="240"/>
    </w:pPr>
    <w:rPr>
      <w:rFonts w:eastAsia="Times New Roman" w:cs="Times New Roman"/>
    </w:rPr>
  </w:style>
  <w:style w:type="paragraph" w:customStyle="1" w:styleId="Title-SS">
    <w:name w:val="_Title-SS"/>
    <w:aliases w:val="ts"/>
    <w:basedOn w:val="Normal"/>
    <w:uiPriority w:val="99"/>
    <w:rsid w:val="00645018"/>
    <w:pPr>
      <w:keepNext/>
      <w:keepLines/>
      <w:spacing w:after="240"/>
      <w:jc w:val="center"/>
    </w:pPr>
    <w:rPr>
      <w:rFonts w:eastAsia="Times New Roman" w:cs="Times New Roman"/>
      <w:b/>
    </w:rPr>
  </w:style>
  <w:style w:type="paragraph" w:customStyle="1" w:styleId="TitleUnd-SS">
    <w:name w:val="_TitleUnd-SS"/>
    <w:aliases w:val="tus"/>
    <w:basedOn w:val="Normal"/>
    <w:uiPriority w:val="99"/>
    <w:rsid w:val="00645018"/>
    <w:pPr>
      <w:keepNext/>
      <w:keepLines/>
      <w:adjustRightInd w:val="0"/>
      <w:spacing w:after="240"/>
    </w:pPr>
    <w:rPr>
      <w:rFonts w:eastAsia="Times New Roman" w:cs="Times New Roman"/>
      <w:b/>
      <w:u w:val="single"/>
    </w:rPr>
  </w:style>
  <w:style w:type="paragraph" w:customStyle="1" w:styleId="TitleUnd-DS">
    <w:name w:val="_TitleUnd-DS"/>
    <w:aliases w:val="tud"/>
    <w:basedOn w:val="Normal"/>
    <w:uiPriority w:val="99"/>
    <w:rsid w:val="00645018"/>
    <w:pPr>
      <w:keepNext/>
      <w:keepLines/>
      <w:adjustRightInd w:val="0"/>
      <w:spacing w:line="480" w:lineRule="auto"/>
      <w:jc w:val="center"/>
    </w:pPr>
    <w:rPr>
      <w:rFonts w:eastAsia="Times New Roman" w:cs="Times New Roman"/>
      <w:b/>
      <w:u w:val="single"/>
    </w:rPr>
  </w:style>
  <w:style w:type="paragraph" w:customStyle="1" w:styleId="TitleCapsUnd-DS">
    <w:name w:val="_TitleCapsUnd-DS"/>
    <w:aliases w:val="tcudold"/>
    <w:basedOn w:val="Normal"/>
    <w:uiPriority w:val="99"/>
    <w:rsid w:val="00645018"/>
    <w:pPr>
      <w:keepNext/>
      <w:keepLines/>
      <w:adjustRightInd w:val="0"/>
      <w:spacing w:line="480" w:lineRule="auto"/>
      <w:jc w:val="center"/>
    </w:pPr>
    <w:rPr>
      <w:rFonts w:eastAsia="Times New Roman" w:cs="Times New Roman"/>
      <w:b/>
      <w:caps/>
      <w:u w:val="single"/>
    </w:rPr>
  </w:style>
  <w:style w:type="paragraph" w:customStyle="1" w:styleId="TitleCapsUnd-SS">
    <w:name w:val="_TitleCapsUnd-SS"/>
    <w:aliases w:val="tcus"/>
    <w:basedOn w:val="Normal"/>
    <w:uiPriority w:val="99"/>
    <w:rsid w:val="00645018"/>
    <w:pPr>
      <w:keepNext/>
      <w:keepLines/>
      <w:adjustRightInd w:val="0"/>
      <w:spacing w:after="240"/>
      <w:jc w:val="center"/>
    </w:pPr>
    <w:rPr>
      <w:rFonts w:eastAsia="Times New Roman" w:cs="Times New Roman"/>
      <w:b/>
      <w:caps/>
      <w:u w:val="single"/>
    </w:rPr>
  </w:style>
  <w:style w:type="paragraph" w:customStyle="1" w:styleId="Title-DS">
    <w:name w:val="_Title-DS"/>
    <w:aliases w:val="td"/>
    <w:basedOn w:val="Normal"/>
    <w:uiPriority w:val="99"/>
    <w:rsid w:val="00645018"/>
    <w:pPr>
      <w:keepNext/>
      <w:keepLines/>
      <w:adjustRightInd w:val="0"/>
      <w:spacing w:line="480" w:lineRule="auto"/>
      <w:jc w:val="center"/>
    </w:pPr>
    <w:rPr>
      <w:rFonts w:eastAsia="Times New Roman" w:cs="Times New Roman"/>
      <w:b/>
    </w:rPr>
  </w:style>
  <w:style w:type="paragraph" w:customStyle="1" w:styleId="StyleGroupHeading">
    <w:name w:val="StyleGroupHeading"/>
    <w:basedOn w:val="Normal"/>
    <w:uiPriority w:val="99"/>
    <w:rsid w:val="00645018"/>
    <w:pPr>
      <w:keepNext/>
      <w:adjustRightInd w:val="0"/>
      <w:spacing w:before="240" w:after="240"/>
      <w:jc w:val="center"/>
    </w:pPr>
    <w:rPr>
      <w:rFonts w:ascii="Arial" w:eastAsia="Times New Roman" w:hAnsi="Arial" w:cs="Arial"/>
      <w:b/>
      <w:bCs/>
      <w:u w:val="single"/>
    </w:rPr>
  </w:style>
  <w:style w:type="paragraph" w:customStyle="1" w:styleId="BodySingle">
    <w:name w:val="_BodySingle"/>
    <w:aliases w:val="bs"/>
    <w:basedOn w:val="Normal"/>
    <w:uiPriority w:val="99"/>
    <w:rsid w:val="00645018"/>
    <w:pPr>
      <w:adjustRightInd w:val="0"/>
      <w:spacing w:after="240"/>
    </w:pPr>
    <w:rPr>
      <w:rFonts w:eastAsia="Times New Roman" w:cs="Times New Roman"/>
    </w:rPr>
  </w:style>
  <w:style w:type="paragraph" w:customStyle="1" w:styleId="StyleDescription">
    <w:name w:val="StyleDescription"/>
    <w:basedOn w:val="Normal"/>
    <w:uiPriority w:val="99"/>
    <w:rsid w:val="00645018"/>
    <w:pPr>
      <w:keepNext/>
      <w:tabs>
        <w:tab w:val="right" w:pos="8640"/>
      </w:tabs>
      <w:adjustRightInd w:val="0"/>
      <w:spacing w:after="240"/>
    </w:pPr>
    <w:rPr>
      <w:rFonts w:ascii="Arial" w:eastAsia="Times New Roman" w:hAnsi="Arial" w:cs="Arial"/>
      <w:b/>
      <w:bCs/>
      <w:color w:val="0000FF"/>
      <w:sz w:val="20"/>
    </w:rPr>
  </w:style>
  <w:style w:type="paragraph" w:customStyle="1" w:styleId="Bullet">
    <w:name w:val="Bullet"/>
    <w:basedOn w:val="Normal"/>
    <w:uiPriority w:val="99"/>
    <w:rsid w:val="00645018"/>
    <w:pPr>
      <w:numPr>
        <w:numId w:val="1"/>
      </w:numPr>
      <w:adjustRightInd w:val="0"/>
    </w:pPr>
    <w:rPr>
      <w:rFonts w:ascii="Arial" w:eastAsia="Times New Roman" w:hAnsi="Arial" w:cs="Times New Roman"/>
    </w:rPr>
  </w:style>
  <w:style w:type="paragraph" w:customStyle="1" w:styleId="StyleName">
    <w:name w:val="StyleName"/>
    <w:basedOn w:val="Normal"/>
    <w:uiPriority w:val="99"/>
    <w:rsid w:val="00645018"/>
    <w:pPr>
      <w:keepNext/>
      <w:adjustRightInd w:val="0"/>
      <w:spacing w:before="240"/>
    </w:pPr>
    <w:rPr>
      <w:rFonts w:ascii="Arial" w:eastAsia="Times New Roman" w:hAnsi="Arial" w:cs="Times New Roman"/>
      <w:b/>
      <w:bCs/>
      <w:color w:val="0000FF"/>
      <w:szCs w:val="20"/>
    </w:rPr>
  </w:style>
  <w:style w:type="paragraph" w:customStyle="1" w:styleId="BodyDouble">
    <w:name w:val="_BodyDouble"/>
    <w:aliases w:val="bd"/>
    <w:basedOn w:val="Normal"/>
    <w:uiPriority w:val="99"/>
    <w:rsid w:val="00645018"/>
    <w:pPr>
      <w:adjustRightInd w:val="0"/>
      <w:spacing w:line="480" w:lineRule="auto"/>
    </w:pPr>
    <w:rPr>
      <w:rFonts w:eastAsia="Times New Roman" w:cs="Times New Roman"/>
    </w:rPr>
  </w:style>
  <w:style w:type="paragraph" w:styleId="BalloonText">
    <w:name w:val="Balloon Text"/>
    <w:basedOn w:val="Normal"/>
    <w:link w:val="BalloonTextChar"/>
    <w:uiPriority w:val="99"/>
    <w:semiHidden/>
    <w:unhideWhenUsed/>
    <w:rsid w:val="00645018"/>
    <w:rPr>
      <w:rFonts w:ascii="Tahoma" w:hAnsi="Tahoma" w:cs="Tahoma"/>
      <w:sz w:val="16"/>
      <w:szCs w:val="16"/>
    </w:rPr>
  </w:style>
  <w:style w:type="character" w:customStyle="1" w:styleId="BalloonTextChar">
    <w:name w:val="Balloon Text Char"/>
    <w:basedOn w:val="DefaultParagraphFont"/>
    <w:link w:val="BalloonText"/>
    <w:uiPriority w:val="99"/>
    <w:semiHidden/>
    <w:rsid w:val="00645018"/>
    <w:rPr>
      <w:rFonts w:ascii="Tahoma" w:hAnsi="Tahoma" w:cs="Tahoma"/>
      <w:sz w:val="16"/>
      <w:szCs w:val="16"/>
    </w:rPr>
  </w:style>
  <w:style w:type="paragraph" w:styleId="Header">
    <w:name w:val="header"/>
    <w:basedOn w:val="Normal"/>
    <w:link w:val="HeaderChar"/>
    <w:uiPriority w:val="99"/>
    <w:unhideWhenUsed/>
    <w:rsid w:val="00B567E2"/>
    <w:pPr>
      <w:tabs>
        <w:tab w:val="center" w:pos="4680"/>
        <w:tab w:val="right" w:pos="9360"/>
      </w:tabs>
    </w:pPr>
  </w:style>
  <w:style w:type="character" w:customStyle="1" w:styleId="HeaderChar">
    <w:name w:val="Header Char"/>
    <w:basedOn w:val="DefaultParagraphFont"/>
    <w:link w:val="Header"/>
    <w:uiPriority w:val="99"/>
    <w:rsid w:val="00B567E2"/>
  </w:style>
  <w:style w:type="paragraph" w:styleId="Footer">
    <w:name w:val="footer"/>
    <w:basedOn w:val="Normal"/>
    <w:link w:val="FooterChar"/>
    <w:uiPriority w:val="99"/>
    <w:unhideWhenUsed/>
    <w:rsid w:val="00B567E2"/>
    <w:pPr>
      <w:tabs>
        <w:tab w:val="center" w:pos="4680"/>
        <w:tab w:val="right" w:pos="9360"/>
      </w:tabs>
    </w:pPr>
  </w:style>
  <w:style w:type="character" w:customStyle="1" w:styleId="FooterChar">
    <w:name w:val="Footer Char"/>
    <w:basedOn w:val="DefaultParagraphFont"/>
    <w:link w:val="Footer"/>
    <w:uiPriority w:val="99"/>
    <w:rsid w:val="00B567E2"/>
  </w:style>
  <w:style w:type="table" w:styleId="TableGrid">
    <w:name w:val="Table Grid"/>
    <w:basedOn w:val="TableNormal"/>
    <w:uiPriority w:val="59"/>
    <w:rsid w:val="00F53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3DAA"/>
    <w:rPr>
      <w:color w:val="0000FF" w:themeColor="hyperlink"/>
      <w:u w:val="single"/>
    </w:rPr>
  </w:style>
  <w:style w:type="character" w:styleId="FollowedHyperlink">
    <w:name w:val="FollowedHyperlink"/>
    <w:basedOn w:val="DefaultParagraphFont"/>
    <w:uiPriority w:val="99"/>
    <w:semiHidden/>
    <w:unhideWhenUsed/>
    <w:rsid w:val="00F177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apsUnd-DSTOC">
    <w:name w:val="_TitleCapsUnd-DS TOC"/>
    <w:aliases w:val="tcudtoc"/>
    <w:basedOn w:val="Normal"/>
    <w:uiPriority w:val="99"/>
    <w:rsid w:val="00645018"/>
    <w:pPr>
      <w:keepNext/>
      <w:keepLines/>
      <w:adjustRightInd w:val="0"/>
      <w:spacing w:line="480" w:lineRule="auto"/>
      <w:jc w:val="center"/>
      <w:outlineLvl w:val="0"/>
    </w:pPr>
    <w:rPr>
      <w:rFonts w:ascii="Times New (W1)" w:eastAsia="Times New Roman" w:hAnsi="Times New (W1)" w:cs="Times New Roman"/>
      <w:b/>
      <w:caps/>
      <w:u w:val="single"/>
    </w:rPr>
  </w:style>
  <w:style w:type="paragraph" w:customStyle="1" w:styleId="TitleCapsUnd-SSTOC">
    <w:name w:val="_TitleCapsUnd-SS TOC"/>
    <w:aliases w:val="tcustoc"/>
    <w:basedOn w:val="Normal"/>
    <w:uiPriority w:val="99"/>
    <w:rsid w:val="00645018"/>
    <w:pPr>
      <w:keepNext/>
      <w:keepLines/>
      <w:adjustRightInd w:val="0"/>
      <w:spacing w:after="240"/>
      <w:jc w:val="center"/>
      <w:outlineLvl w:val="0"/>
    </w:pPr>
    <w:rPr>
      <w:rFonts w:ascii="Times New (W1)" w:eastAsia="Times New Roman" w:hAnsi="Times New (W1)" w:cs="Times New Roman"/>
      <w:b/>
      <w:caps/>
      <w:u w:val="single"/>
    </w:rPr>
  </w:style>
  <w:style w:type="paragraph" w:customStyle="1" w:styleId="Title-DSTOC">
    <w:name w:val="_Title-DS TOC"/>
    <w:aliases w:val="tdtoc"/>
    <w:basedOn w:val="Normal"/>
    <w:uiPriority w:val="99"/>
    <w:rsid w:val="00645018"/>
    <w:pPr>
      <w:keepNext/>
      <w:keepLines/>
      <w:adjustRightInd w:val="0"/>
      <w:spacing w:line="480" w:lineRule="auto"/>
      <w:jc w:val="center"/>
      <w:outlineLvl w:val="0"/>
    </w:pPr>
    <w:rPr>
      <w:rFonts w:eastAsia="Times New Roman" w:cs="Times New Roman"/>
      <w:b/>
    </w:rPr>
  </w:style>
  <w:style w:type="paragraph" w:customStyle="1" w:styleId="Title-SSTOC">
    <w:name w:val="_Title-SS TOC"/>
    <w:aliases w:val="tstoc"/>
    <w:basedOn w:val="Normal"/>
    <w:uiPriority w:val="99"/>
    <w:rsid w:val="00645018"/>
    <w:pPr>
      <w:keepNext/>
      <w:keepLines/>
      <w:adjustRightInd w:val="0"/>
      <w:spacing w:after="240"/>
      <w:jc w:val="center"/>
      <w:outlineLvl w:val="0"/>
    </w:pPr>
    <w:rPr>
      <w:rFonts w:eastAsia="Times New Roman" w:cs="Times New Roman"/>
      <w:b/>
    </w:rPr>
  </w:style>
  <w:style w:type="paragraph" w:customStyle="1" w:styleId="TitleUnd-DSTOC">
    <w:name w:val="_TitleUnd-DS TOC"/>
    <w:aliases w:val="tudtoc"/>
    <w:basedOn w:val="Normal"/>
    <w:uiPriority w:val="99"/>
    <w:rsid w:val="00645018"/>
    <w:pPr>
      <w:keepNext/>
      <w:keepLines/>
      <w:adjustRightInd w:val="0"/>
      <w:spacing w:line="480" w:lineRule="auto"/>
      <w:jc w:val="center"/>
      <w:outlineLvl w:val="0"/>
    </w:pPr>
    <w:rPr>
      <w:rFonts w:eastAsia="Times New Roman" w:cs="Times New Roman"/>
      <w:b/>
      <w:u w:val="single"/>
    </w:rPr>
  </w:style>
  <w:style w:type="paragraph" w:customStyle="1" w:styleId="TitleUnd-SSTOC">
    <w:name w:val="_TitleUnd-SS TOC"/>
    <w:aliases w:val="tustoc"/>
    <w:basedOn w:val="Normal"/>
    <w:uiPriority w:val="99"/>
    <w:rsid w:val="00645018"/>
    <w:pPr>
      <w:keepNext/>
      <w:keepLines/>
      <w:adjustRightInd w:val="0"/>
      <w:spacing w:after="240"/>
      <w:jc w:val="center"/>
      <w:outlineLvl w:val="0"/>
    </w:pPr>
    <w:rPr>
      <w:rFonts w:eastAsia="Times New Roman" w:cs="Times New Roman"/>
      <w:b/>
      <w:u w:val="single"/>
    </w:rPr>
  </w:style>
  <w:style w:type="paragraph" w:customStyle="1" w:styleId="Address">
    <w:name w:val="_Address"/>
    <w:aliases w:val="a"/>
    <w:basedOn w:val="Normal"/>
    <w:next w:val="Normal"/>
    <w:uiPriority w:val="99"/>
    <w:rsid w:val="00645018"/>
    <w:pPr>
      <w:keepNext/>
    </w:pPr>
    <w:rPr>
      <w:rFonts w:eastAsia="Times New Roman" w:cs="Times New Roman"/>
    </w:rPr>
  </w:style>
  <w:style w:type="paragraph" w:customStyle="1" w:styleId="DoubleIndent5-DS">
    <w:name w:val="_DoubleIndent.5-DS"/>
    <w:aliases w:val="di5ds"/>
    <w:basedOn w:val="Normal"/>
    <w:uiPriority w:val="99"/>
    <w:rsid w:val="00645018"/>
    <w:pPr>
      <w:spacing w:line="480" w:lineRule="auto"/>
      <w:ind w:left="720" w:right="720"/>
      <w:jc w:val="both"/>
    </w:pPr>
    <w:rPr>
      <w:rFonts w:eastAsia="Times New Roman" w:cs="Times New Roman"/>
    </w:rPr>
  </w:style>
  <w:style w:type="paragraph" w:customStyle="1" w:styleId="DoubleIndent5-SS">
    <w:name w:val="_DoubleIndent.5-SS"/>
    <w:aliases w:val="di5ss"/>
    <w:basedOn w:val="Normal"/>
    <w:uiPriority w:val="99"/>
    <w:rsid w:val="00645018"/>
    <w:pPr>
      <w:spacing w:after="240"/>
      <w:ind w:left="720" w:right="720"/>
      <w:jc w:val="both"/>
    </w:pPr>
    <w:rPr>
      <w:rFonts w:eastAsia="Times New Roman" w:cs="Times New Roman"/>
    </w:rPr>
  </w:style>
  <w:style w:type="paragraph" w:customStyle="1" w:styleId="DoubleIndent1-DS">
    <w:name w:val="_DoubleIndent1-DS"/>
    <w:aliases w:val="di1ds"/>
    <w:basedOn w:val="Normal"/>
    <w:uiPriority w:val="99"/>
    <w:rsid w:val="00645018"/>
    <w:pPr>
      <w:spacing w:line="480" w:lineRule="auto"/>
      <w:ind w:left="1440" w:right="1440"/>
      <w:jc w:val="both"/>
    </w:pPr>
    <w:rPr>
      <w:rFonts w:eastAsia="Times New Roman" w:cs="Times New Roman"/>
    </w:rPr>
  </w:style>
  <w:style w:type="paragraph" w:customStyle="1" w:styleId="DoubleIndent1-SS">
    <w:name w:val="_DoubleIndent1-SS"/>
    <w:aliases w:val="di1ss"/>
    <w:basedOn w:val="Normal"/>
    <w:uiPriority w:val="99"/>
    <w:rsid w:val="00645018"/>
    <w:pPr>
      <w:spacing w:after="240"/>
      <w:ind w:left="1440" w:right="1440"/>
      <w:jc w:val="both"/>
    </w:pPr>
    <w:rPr>
      <w:rFonts w:eastAsia="Times New Roman" w:cs="Times New Roman"/>
    </w:rPr>
  </w:style>
  <w:style w:type="paragraph" w:customStyle="1" w:styleId="Body5">
    <w:name w:val="_Body&gt;.5"/>
    <w:aliases w:val="b&gt;.5ds"/>
    <w:basedOn w:val="Normal"/>
    <w:uiPriority w:val="99"/>
    <w:rsid w:val="00645018"/>
    <w:pPr>
      <w:spacing w:line="480" w:lineRule="auto"/>
      <w:ind w:firstLine="720"/>
      <w:jc w:val="both"/>
    </w:pPr>
    <w:rPr>
      <w:rFonts w:eastAsia="Times New Roman" w:cs="Times New Roman"/>
    </w:rPr>
  </w:style>
  <w:style w:type="paragraph" w:customStyle="1" w:styleId="Body5-SS">
    <w:name w:val="_Body&gt;.5-SS"/>
    <w:aliases w:val="b&gt;.5ss"/>
    <w:basedOn w:val="Normal"/>
    <w:uiPriority w:val="99"/>
    <w:rsid w:val="00645018"/>
    <w:pPr>
      <w:spacing w:after="240"/>
      <w:ind w:firstLine="720"/>
      <w:jc w:val="both"/>
    </w:pPr>
    <w:rPr>
      <w:rFonts w:eastAsia="Times New Roman" w:cs="Times New Roman"/>
    </w:rPr>
  </w:style>
  <w:style w:type="paragraph" w:customStyle="1" w:styleId="Date">
    <w:name w:val="_Date"/>
    <w:basedOn w:val="Normal"/>
    <w:uiPriority w:val="99"/>
    <w:rsid w:val="00645018"/>
    <w:pPr>
      <w:adjustRightInd w:val="0"/>
      <w:spacing w:before="1920" w:after="480"/>
      <w:jc w:val="center"/>
    </w:pPr>
    <w:rPr>
      <w:rFonts w:eastAsia="Times New Roman" w:cs="Times New Roman"/>
    </w:rPr>
  </w:style>
  <w:style w:type="paragraph" w:customStyle="1" w:styleId="NotaryBlock">
    <w:name w:val="_Notary Block"/>
    <w:aliases w:val="not"/>
    <w:basedOn w:val="Normal"/>
    <w:uiPriority w:val="99"/>
    <w:rsid w:val="00645018"/>
    <w:pPr>
      <w:spacing w:after="240"/>
      <w:ind w:right="5040"/>
    </w:pPr>
    <w:rPr>
      <w:rFonts w:eastAsia="Times New Roman" w:cs="Times New Roman"/>
    </w:rPr>
  </w:style>
  <w:style w:type="paragraph" w:customStyle="1" w:styleId="ReLineindent">
    <w:name w:val="_Re Line indent"/>
    <w:aliases w:val="rei"/>
    <w:basedOn w:val="Normal"/>
    <w:next w:val="Normal"/>
    <w:uiPriority w:val="99"/>
    <w:rsid w:val="00645018"/>
    <w:pPr>
      <w:spacing w:after="240"/>
      <w:ind w:left="1440" w:hanging="720"/>
    </w:pPr>
    <w:rPr>
      <w:rFonts w:eastAsia="Times New Roman" w:cs="Times New Roman"/>
    </w:rPr>
  </w:style>
  <w:style w:type="paragraph" w:customStyle="1" w:styleId="ReLinenoindentbold">
    <w:name w:val="_Re Line no indent bold"/>
    <w:aliases w:val="reb"/>
    <w:basedOn w:val="Normal"/>
    <w:uiPriority w:val="99"/>
    <w:rsid w:val="00645018"/>
    <w:pPr>
      <w:tabs>
        <w:tab w:val="left" w:pos="720"/>
      </w:tabs>
      <w:spacing w:after="240"/>
    </w:pPr>
    <w:rPr>
      <w:rFonts w:eastAsia="Times New Roman" w:cs="Times New Roman"/>
      <w:b/>
    </w:rPr>
  </w:style>
  <w:style w:type="paragraph" w:customStyle="1" w:styleId="RELinenoindent">
    <w:name w:val="_RE Line no indent"/>
    <w:aliases w:val="re"/>
    <w:basedOn w:val="Normal"/>
    <w:uiPriority w:val="99"/>
    <w:rsid w:val="00645018"/>
    <w:pPr>
      <w:keepNext/>
      <w:keepLines/>
      <w:tabs>
        <w:tab w:val="left" w:pos="720"/>
      </w:tabs>
      <w:ind w:left="720" w:hanging="720"/>
    </w:pPr>
    <w:rPr>
      <w:rFonts w:eastAsia="Times New Roman" w:cs="Times New Roman"/>
    </w:rPr>
  </w:style>
  <w:style w:type="paragraph" w:customStyle="1" w:styleId="Salutation">
    <w:name w:val="_Salutation"/>
    <w:basedOn w:val="Normal"/>
    <w:uiPriority w:val="99"/>
    <w:rsid w:val="00645018"/>
    <w:pPr>
      <w:adjustRightInd w:val="0"/>
      <w:spacing w:after="240"/>
    </w:pPr>
    <w:rPr>
      <w:rFonts w:eastAsia="Times New Roman" w:cs="Times New Roman"/>
    </w:rPr>
  </w:style>
  <w:style w:type="paragraph" w:customStyle="1" w:styleId="SignatureIndent3">
    <w:name w:val="_SignatureIndent3"/>
    <w:aliases w:val="sig3"/>
    <w:basedOn w:val="Normal"/>
    <w:uiPriority w:val="99"/>
    <w:rsid w:val="00645018"/>
    <w:pPr>
      <w:keepNext/>
      <w:keepLines/>
      <w:adjustRightInd w:val="0"/>
      <w:spacing w:after="240"/>
      <w:ind w:left="4320"/>
    </w:pPr>
    <w:rPr>
      <w:rFonts w:eastAsia="Times New Roman" w:cs="Times New Roman"/>
    </w:rPr>
  </w:style>
  <w:style w:type="paragraph" w:customStyle="1" w:styleId="SignatureLeft">
    <w:name w:val="_SignatureLeft"/>
    <w:aliases w:val="sig0"/>
    <w:basedOn w:val="Normal"/>
    <w:uiPriority w:val="99"/>
    <w:rsid w:val="00645018"/>
    <w:pPr>
      <w:keepNext/>
      <w:keepLines/>
      <w:spacing w:after="240"/>
    </w:pPr>
    <w:rPr>
      <w:rFonts w:eastAsia="Times New Roman" w:cs="Times New Roman"/>
    </w:rPr>
  </w:style>
  <w:style w:type="paragraph" w:customStyle="1" w:styleId="Title-SS">
    <w:name w:val="_Title-SS"/>
    <w:aliases w:val="ts"/>
    <w:basedOn w:val="Normal"/>
    <w:uiPriority w:val="99"/>
    <w:rsid w:val="00645018"/>
    <w:pPr>
      <w:keepNext/>
      <w:keepLines/>
      <w:spacing w:after="240"/>
      <w:jc w:val="center"/>
    </w:pPr>
    <w:rPr>
      <w:rFonts w:eastAsia="Times New Roman" w:cs="Times New Roman"/>
      <w:b/>
    </w:rPr>
  </w:style>
  <w:style w:type="paragraph" w:customStyle="1" w:styleId="TitleUnd-SS">
    <w:name w:val="_TitleUnd-SS"/>
    <w:aliases w:val="tus"/>
    <w:basedOn w:val="Normal"/>
    <w:uiPriority w:val="99"/>
    <w:rsid w:val="00645018"/>
    <w:pPr>
      <w:keepNext/>
      <w:keepLines/>
      <w:adjustRightInd w:val="0"/>
      <w:spacing w:after="240"/>
    </w:pPr>
    <w:rPr>
      <w:rFonts w:eastAsia="Times New Roman" w:cs="Times New Roman"/>
      <w:b/>
      <w:u w:val="single"/>
    </w:rPr>
  </w:style>
  <w:style w:type="paragraph" w:customStyle="1" w:styleId="TitleUnd-DS">
    <w:name w:val="_TitleUnd-DS"/>
    <w:aliases w:val="tud"/>
    <w:basedOn w:val="Normal"/>
    <w:uiPriority w:val="99"/>
    <w:rsid w:val="00645018"/>
    <w:pPr>
      <w:keepNext/>
      <w:keepLines/>
      <w:adjustRightInd w:val="0"/>
      <w:spacing w:line="480" w:lineRule="auto"/>
      <w:jc w:val="center"/>
    </w:pPr>
    <w:rPr>
      <w:rFonts w:eastAsia="Times New Roman" w:cs="Times New Roman"/>
      <w:b/>
      <w:u w:val="single"/>
    </w:rPr>
  </w:style>
  <w:style w:type="paragraph" w:customStyle="1" w:styleId="TitleCapsUnd-DS">
    <w:name w:val="_TitleCapsUnd-DS"/>
    <w:aliases w:val="tcudold"/>
    <w:basedOn w:val="Normal"/>
    <w:uiPriority w:val="99"/>
    <w:rsid w:val="00645018"/>
    <w:pPr>
      <w:keepNext/>
      <w:keepLines/>
      <w:adjustRightInd w:val="0"/>
      <w:spacing w:line="480" w:lineRule="auto"/>
      <w:jc w:val="center"/>
    </w:pPr>
    <w:rPr>
      <w:rFonts w:eastAsia="Times New Roman" w:cs="Times New Roman"/>
      <w:b/>
      <w:caps/>
      <w:u w:val="single"/>
    </w:rPr>
  </w:style>
  <w:style w:type="paragraph" w:customStyle="1" w:styleId="TitleCapsUnd-SS">
    <w:name w:val="_TitleCapsUnd-SS"/>
    <w:aliases w:val="tcus"/>
    <w:basedOn w:val="Normal"/>
    <w:uiPriority w:val="99"/>
    <w:rsid w:val="00645018"/>
    <w:pPr>
      <w:keepNext/>
      <w:keepLines/>
      <w:adjustRightInd w:val="0"/>
      <w:spacing w:after="240"/>
      <w:jc w:val="center"/>
    </w:pPr>
    <w:rPr>
      <w:rFonts w:eastAsia="Times New Roman" w:cs="Times New Roman"/>
      <w:b/>
      <w:caps/>
      <w:u w:val="single"/>
    </w:rPr>
  </w:style>
  <w:style w:type="paragraph" w:customStyle="1" w:styleId="Title-DS">
    <w:name w:val="_Title-DS"/>
    <w:aliases w:val="td"/>
    <w:basedOn w:val="Normal"/>
    <w:uiPriority w:val="99"/>
    <w:rsid w:val="00645018"/>
    <w:pPr>
      <w:keepNext/>
      <w:keepLines/>
      <w:adjustRightInd w:val="0"/>
      <w:spacing w:line="480" w:lineRule="auto"/>
      <w:jc w:val="center"/>
    </w:pPr>
    <w:rPr>
      <w:rFonts w:eastAsia="Times New Roman" w:cs="Times New Roman"/>
      <w:b/>
    </w:rPr>
  </w:style>
  <w:style w:type="paragraph" w:customStyle="1" w:styleId="StyleGroupHeading">
    <w:name w:val="StyleGroupHeading"/>
    <w:basedOn w:val="Normal"/>
    <w:uiPriority w:val="99"/>
    <w:rsid w:val="00645018"/>
    <w:pPr>
      <w:keepNext/>
      <w:adjustRightInd w:val="0"/>
      <w:spacing w:before="240" w:after="240"/>
      <w:jc w:val="center"/>
    </w:pPr>
    <w:rPr>
      <w:rFonts w:ascii="Arial" w:eastAsia="Times New Roman" w:hAnsi="Arial" w:cs="Arial"/>
      <w:b/>
      <w:bCs/>
      <w:u w:val="single"/>
    </w:rPr>
  </w:style>
  <w:style w:type="paragraph" w:customStyle="1" w:styleId="BodySingle">
    <w:name w:val="_BodySingle"/>
    <w:aliases w:val="bs"/>
    <w:basedOn w:val="Normal"/>
    <w:uiPriority w:val="99"/>
    <w:rsid w:val="00645018"/>
    <w:pPr>
      <w:adjustRightInd w:val="0"/>
      <w:spacing w:after="240"/>
    </w:pPr>
    <w:rPr>
      <w:rFonts w:eastAsia="Times New Roman" w:cs="Times New Roman"/>
    </w:rPr>
  </w:style>
  <w:style w:type="paragraph" w:customStyle="1" w:styleId="StyleDescription">
    <w:name w:val="StyleDescription"/>
    <w:basedOn w:val="Normal"/>
    <w:uiPriority w:val="99"/>
    <w:rsid w:val="00645018"/>
    <w:pPr>
      <w:keepNext/>
      <w:tabs>
        <w:tab w:val="right" w:pos="8640"/>
      </w:tabs>
      <w:adjustRightInd w:val="0"/>
      <w:spacing w:after="240"/>
    </w:pPr>
    <w:rPr>
      <w:rFonts w:ascii="Arial" w:eastAsia="Times New Roman" w:hAnsi="Arial" w:cs="Arial"/>
      <w:b/>
      <w:bCs/>
      <w:color w:val="0000FF"/>
      <w:sz w:val="20"/>
    </w:rPr>
  </w:style>
  <w:style w:type="paragraph" w:customStyle="1" w:styleId="Bullet">
    <w:name w:val="Bullet"/>
    <w:basedOn w:val="Normal"/>
    <w:uiPriority w:val="99"/>
    <w:rsid w:val="00645018"/>
    <w:pPr>
      <w:numPr>
        <w:numId w:val="1"/>
      </w:numPr>
      <w:adjustRightInd w:val="0"/>
    </w:pPr>
    <w:rPr>
      <w:rFonts w:ascii="Arial" w:eastAsia="Times New Roman" w:hAnsi="Arial" w:cs="Times New Roman"/>
    </w:rPr>
  </w:style>
  <w:style w:type="paragraph" w:customStyle="1" w:styleId="StyleName">
    <w:name w:val="StyleName"/>
    <w:basedOn w:val="Normal"/>
    <w:uiPriority w:val="99"/>
    <w:rsid w:val="00645018"/>
    <w:pPr>
      <w:keepNext/>
      <w:adjustRightInd w:val="0"/>
      <w:spacing w:before="240"/>
    </w:pPr>
    <w:rPr>
      <w:rFonts w:ascii="Arial" w:eastAsia="Times New Roman" w:hAnsi="Arial" w:cs="Times New Roman"/>
      <w:b/>
      <w:bCs/>
      <w:color w:val="0000FF"/>
      <w:szCs w:val="20"/>
    </w:rPr>
  </w:style>
  <w:style w:type="paragraph" w:customStyle="1" w:styleId="BodyDouble">
    <w:name w:val="_BodyDouble"/>
    <w:aliases w:val="bd"/>
    <w:basedOn w:val="Normal"/>
    <w:uiPriority w:val="99"/>
    <w:rsid w:val="00645018"/>
    <w:pPr>
      <w:adjustRightInd w:val="0"/>
      <w:spacing w:line="480" w:lineRule="auto"/>
    </w:pPr>
    <w:rPr>
      <w:rFonts w:eastAsia="Times New Roman" w:cs="Times New Roman"/>
    </w:rPr>
  </w:style>
  <w:style w:type="paragraph" w:styleId="BalloonText">
    <w:name w:val="Balloon Text"/>
    <w:basedOn w:val="Normal"/>
    <w:link w:val="BalloonTextChar"/>
    <w:uiPriority w:val="99"/>
    <w:semiHidden/>
    <w:unhideWhenUsed/>
    <w:rsid w:val="00645018"/>
    <w:rPr>
      <w:rFonts w:ascii="Tahoma" w:hAnsi="Tahoma" w:cs="Tahoma"/>
      <w:sz w:val="16"/>
      <w:szCs w:val="16"/>
    </w:rPr>
  </w:style>
  <w:style w:type="character" w:customStyle="1" w:styleId="BalloonTextChar">
    <w:name w:val="Balloon Text Char"/>
    <w:basedOn w:val="DefaultParagraphFont"/>
    <w:link w:val="BalloonText"/>
    <w:uiPriority w:val="99"/>
    <w:semiHidden/>
    <w:rsid w:val="00645018"/>
    <w:rPr>
      <w:rFonts w:ascii="Tahoma" w:hAnsi="Tahoma" w:cs="Tahoma"/>
      <w:sz w:val="16"/>
      <w:szCs w:val="16"/>
    </w:rPr>
  </w:style>
  <w:style w:type="paragraph" w:styleId="Header">
    <w:name w:val="header"/>
    <w:basedOn w:val="Normal"/>
    <w:link w:val="HeaderChar"/>
    <w:uiPriority w:val="99"/>
    <w:unhideWhenUsed/>
    <w:rsid w:val="00B567E2"/>
    <w:pPr>
      <w:tabs>
        <w:tab w:val="center" w:pos="4680"/>
        <w:tab w:val="right" w:pos="9360"/>
      </w:tabs>
    </w:pPr>
  </w:style>
  <w:style w:type="character" w:customStyle="1" w:styleId="HeaderChar">
    <w:name w:val="Header Char"/>
    <w:basedOn w:val="DefaultParagraphFont"/>
    <w:link w:val="Header"/>
    <w:uiPriority w:val="99"/>
    <w:rsid w:val="00B567E2"/>
  </w:style>
  <w:style w:type="paragraph" w:styleId="Footer">
    <w:name w:val="footer"/>
    <w:basedOn w:val="Normal"/>
    <w:link w:val="FooterChar"/>
    <w:uiPriority w:val="99"/>
    <w:unhideWhenUsed/>
    <w:rsid w:val="00B567E2"/>
    <w:pPr>
      <w:tabs>
        <w:tab w:val="center" w:pos="4680"/>
        <w:tab w:val="right" w:pos="9360"/>
      </w:tabs>
    </w:pPr>
  </w:style>
  <w:style w:type="character" w:customStyle="1" w:styleId="FooterChar">
    <w:name w:val="Footer Char"/>
    <w:basedOn w:val="DefaultParagraphFont"/>
    <w:link w:val="Footer"/>
    <w:uiPriority w:val="99"/>
    <w:rsid w:val="00B567E2"/>
  </w:style>
  <w:style w:type="table" w:styleId="TableGrid">
    <w:name w:val="Table Grid"/>
    <w:basedOn w:val="TableNormal"/>
    <w:uiPriority w:val="59"/>
    <w:rsid w:val="00F53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3DAA"/>
    <w:rPr>
      <w:color w:val="0000FF" w:themeColor="hyperlink"/>
      <w:u w:val="single"/>
    </w:rPr>
  </w:style>
  <w:style w:type="character" w:styleId="FollowedHyperlink">
    <w:name w:val="FollowedHyperlink"/>
    <w:basedOn w:val="DefaultParagraphFont"/>
    <w:uiPriority w:val="99"/>
    <w:semiHidden/>
    <w:unhideWhenUsed/>
    <w:rsid w:val="00F17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nerwitcoff.com/abow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Bowlning</dc:creator>
  <cp:lastModifiedBy>Amanda Robert</cp:lastModifiedBy>
  <cp:revision>4</cp:revision>
  <cp:lastPrinted>2013-11-06T15:35:00Z</cp:lastPrinted>
  <dcterms:created xsi:type="dcterms:W3CDTF">2013-11-06T17:56:00Z</dcterms:created>
  <dcterms:modified xsi:type="dcterms:W3CDTF">2013-11-06T18:57:00Z</dcterms:modified>
</cp:coreProperties>
</file>